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5F8F" w14:textId="77777777" w:rsidR="00D35C87" w:rsidRDefault="00D35C87">
      <w:pPr>
        <w:pStyle w:val="CM17"/>
        <w:spacing w:after="367"/>
        <w:jc w:val="center"/>
      </w:pPr>
      <w:r w:rsidRPr="00D35C87">
        <w:rPr>
          <w:sz w:val="32"/>
          <w:szCs w:val="32"/>
        </w:rPr>
        <w:t>PBF MACH2 Holdings LLC</w:t>
      </w:r>
      <w:r w:rsidR="00803B4B">
        <w:t xml:space="preserve"> </w:t>
      </w:r>
    </w:p>
    <w:p w14:paraId="1C828B16" w14:textId="6BB8E08D" w:rsidR="00803B4B" w:rsidRDefault="00803B4B">
      <w:pPr>
        <w:pStyle w:val="CM17"/>
        <w:spacing w:after="367"/>
        <w:jc w:val="center"/>
        <w:rPr>
          <w:color w:val="000000"/>
          <w:sz w:val="32"/>
          <w:szCs w:val="32"/>
        </w:rPr>
      </w:pPr>
      <w:r>
        <w:rPr>
          <w:color w:val="000000"/>
          <w:sz w:val="32"/>
          <w:szCs w:val="32"/>
        </w:rPr>
        <w:t xml:space="preserve">REQUEST FOR PROPOSAL </w:t>
      </w:r>
    </w:p>
    <w:p w14:paraId="7D12117E" w14:textId="49030F49" w:rsidR="001057D7" w:rsidRDefault="006D4FDA" w:rsidP="001057D7">
      <w:pPr>
        <w:pStyle w:val="CM18"/>
        <w:spacing w:after="225"/>
        <w:jc w:val="center"/>
        <w:rPr>
          <w:color w:val="000000"/>
          <w:sz w:val="20"/>
          <w:szCs w:val="20"/>
        </w:rPr>
      </w:pPr>
      <w:r w:rsidRPr="006D4FDA">
        <w:rPr>
          <w:b/>
          <w:bCs/>
          <w:color w:val="000000"/>
        </w:rPr>
        <w:t xml:space="preserve">Methanol </w:t>
      </w:r>
      <w:r w:rsidR="00060D69">
        <w:rPr>
          <w:b/>
          <w:bCs/>
          <w:color w:val="000000"/>
        </w:rPr>
        <w:t>Market Study</w:t>
      </w:r>
      <w:r w:rsidRPr="006D4FDA">
        <w:rPr>
          <w:b/>
          <w:bCs/>
          <w:color w:val="000000"/>
        </w:rPr>
        <w:t xml:space="preserve"> </w:t>
      </w:r>
      <w:r w:rsidR="001057D7">
        <w:rPr>
          <w:b/>
          <w:bCs/>
          <w:color w:val="000000"/>
        </w:rPr>
        <w:t xml:space="preserve"> </w:t>
      </w:r>
    </w:p>
    <w:p w14:paraId="4A817543" w14:textId="7385210C" w:rsidR="00803B4B" w:rsidRDefault="00803B4B">
      <w:pPr>
        <w:pStyle w:val="CM17"/>
        <w:spacing w:after="367"/>
        <w:jc w:val="center"/>
        <w:rPr>
          <w:color w:val="000000"/>
          <w:sz w:val="32"/>
          <w:szCs w:val="32"/>
        </w:rPr>
      </w:pPr>
      <w:r>
        <w:rPr>
          <w:color w:val="000000"/>
          <w:sz w:val="32"/>
          <w:szCs w:val="32"/>
        </w:rPr>
        <w:t xml:space="preserve">PROPOSAL NO. </w:t>
      </w:r>
      <w:r w:rsidR="006D4FDA">
        <w:rPr>
          <w:color w:val="000000"/>
          <w:sz w:val="32"/>
          <w:szCs w:val="32"/>
        </w:rPr>
        <w:t>2507-</w:t>
      </w:r>
      <w:r w:rsidR="00060D69">
        <w:rPr>
          <w:color w:val="000000"/>
          <w:sz w:val="32"/>
          <w:szCs w:val="32"/>
        </w:rPr>
        <w:t>B</w:t>
      </w:r>
    </w:p>
    <w:p w14:paraId="637C67B9" w14:textId="27660BE6" w:rsidR="00803B4B" w:rsidRDefault="006D4FDA">
      <w:pPr>
        <w:pStyle w:val="CM1"/>
        <w:jc w:val="center"/>
        <w:rPr>
          <w:color w:val="000000"/>
          <w:sz w:val="20"/>
          <w:szCs w:val="20"/>
        </w:rPr>
      </w:pPr>
      <w:r>
        <w:rPr>
          <w:color w:val="000000"/>
          <w:sz w:val="20"/>
          <w:szCs w:val="20"/>
        </w:rPr>
        <w:t>7</w:t>
      </w:r>
      <w:r w:rsidR="00C23B43">
        <w:rPr>
          <w:color w:val="000000"/>
          <w:sz w:val="20"/>
          <w:szCs w:val="20"/>
        </w:rPr>
        <w:t>/</w:t>
      </w:r>
      <w:r w:rsidR="003C5BC4">
        <w:rPr>
          <w:color w:val="000000"/>
          <w:sz w:val="20"/>
          <w:szCs w:val="20"/>
        </w:rPr>
        <w:t>30</w:t>
      </w:r>
      <w:r w:rsidR="00C23B43">
        <w:rPr>
          <w:color w:val="000000"/>
          <w:sz w:val="20"/>
          <w:szCs w:val="20"/>
        </w:rPr>
        <w:t>/202</w:t>
      </w:r>
      <w:r w:rsidR="00C50F35">
        <w:rPr>
          <w:color w:val="000000"/>
          <w:sz w:val="20"/>
          <w:szCs w:val="20"/>
        </w:rPr>
        <w:t>5</w:t>
      </w:r>
    </w:p>
    <w:p w14:paraId="36A422FD" w14:textId="77777777" w:rsidR="00803B4B" w:rsidRPr="00CC67E3" w:rsidRDefault="00803B4B">
      <w:pPr>
        <w:pStyle w:val="CM18"/>
        <w:pageBreakBefore/>
        <w:spacing w:after="225" w:line="231" w:lineRule="atLeast"/>
        <w:ind w:left="360"/>
        <w:rPr>
          <w:b/>
          <w:bCs/>
          <w:color w:val="000000"/>
          <w:sz w:val="20"/>
          <w:szCs w:val="20"/>
        </w:rPr>
      </w:pPr>
      <w:r w:rsidRPr="00CC67E3">
        <w:rPr>
          <w:b/>
          <w:bCs/>
          <w:color w:val="000000"/>
          <w:sz w:val="20"/>
          <w:szCs w:val="20"/>
        </w:rPr>
        <w:lastRenderedPageBreak/>
        <w:t xml:space="preserve">Statement of Confidentiality: </w:t>
      </w:r>
    </w:p>
    <w:p w14:paraId="51DF0446" w14:textId="1954E5F5" w:rsidR="00803B4B" w:rsidRDefault="00803B4B">
      <w:pPr>
        <w:pStyle w:val="CM2"/>
        <w:spacing w:after="1335"/>
        <w:ind w:left="360"/>
        <w:rPr>
          <w:color w:val="000000"/>
          <w:sz w:val="20"/>
          <w:szCs w:val="20"/>
        </w:rPr>
      </w:pPr>
      <w:r>
        <w:rPr>
          <w:color w:val="000000"/>
          <w:sz w:val="20"/>
          <w:szCs w:val="20"/>
        </w:rPr>
        <w:t xml:space="preserve">The information contained in this document is confidential to </w:t>
      </w:r>
      <w:r w:rsidR="00D35C87" w:rsidRPr="00D35C87">
        <w:rPr>
          <w:color w:val="000000"/>
          <w:sz w:val="20"/>
          <w:szCs w:val="20"/>
        </w:rPr>
        <w:t>PBF MACH2 Holdings LLC</w:t>
      </w:r>
      <w:r w:rsidR="00576842">
        <w:rPr>
          <w:color w:val="000000"/>
          <w:sz w:val="20"/>
          <w:szCs w:val="20"/>
        </w:rPr>
        <w:t>(PBF)</w:t>
      </w:r>
      <w:r w:rsidR="00D35C87">
        <w:rPr>
          <w:color w:val="000000"/>
          <w:sz w:val="20"/>
          <w:szCs w:val="20"/>
        </w:rPr>
        <w:t xml:space="preserve">. </w:t>
      </w:r>
      <w:r>
        <w:rPr>
          <w:color w:val="000000"/>
          <w:sz w:val="20"/>
          <w:szCs w:val="20"/>
        </w:rPr>
        <w:t xml:space="preserve">It may not be disclosed, duplicated, or used for any purpose, in whole or in part, without the prior written consent of </w:t>
      </w:r>
      <w:r w:rsidR="009C3891" w:rsidRPr="009C3891">
        <w:rPr>
          <w:color w:val="000000"/>
          <w:sz w:val="20"/>
          <w:szCs w:val="20"/>
        </w:rPr>
        <w:t>PBF MACH2 Holdings LLC</w:t>
      </w:r>
      <w:r>
        <w:rPr>
          <w:color w:val="000000"/>
          <w:sz w:val="20"/>
          <w:szCs w:val="20"/>
        </w:rPr>
        <w:t xml:space="preserve">. </w:t>
      </w:r>
    </w:p>
    <w:p w14:paraId="73B3CC64" w14:textId="77777777" w:rsidR="00803B4B" w:rsidRDefault="00803B4B">
      <w:pPr>
        <w:pStyle w:val="CM18"/>
        <w:spacing w:after="225" w:line="231" w:lineRule="atLeast"/>
        <w:jc w:val="center"/>
        <w:rPr>
          <w:color w:val="000000"/>
          <w:sz w:val="20"/>
          <w:szCs w:val="20"/>
        </w:rPr>
      </w:pPr>
      <w:r>
        <w:rPr>
          <w:b/>
          <w:bCs/>
          <w:color w:val="000000"/>
          <w:sz w:val="20"/>
          <w:szCs w:val="20"/>
        </w:rPr>
        <w:t xml:space="preserve">TABLE OF CONTENTS </w:t>
      </w:r>
    </w:p>
    <w:p w14:paraId="3DE75179" w14:textId="77777777" w:rsidR="00C23B43" w:rsidRPr="00D35C87" w:rsidRDefault="00803B4B">
      <w:pPr>
        <w:pStyle w:val="Default"/>
        <w:spacing w:line="460" w:lineRule="atLeast"/>
        <w:rPr>
          <w:color w:val="auto"/>
          <w:sz w:val="20"/>
          <w:szCs w:val="20"/>
        </w:rPr>
      </w:pPr>
      <w:r w:rsidRPr="00D35C87">
        <w:rPr>
          <w:color w:val="auto"/>
          <w:sz w:val="20"/>
          <w:szCs w:val="20"/>
        </w:rPr>
        <w:t xml:space="preserve">Exhibit A: Instructions to Bidders </w:t>
      </w:r>
    </w:p>
    <w:p w14:paraId="1B367D6B" w14:textId="77777777" w:rsidR="00C23B43" w:rsidRPr="00D35C87" w:rsidRDefault="00803B4B">
      <w:pPr>
        <w:pStyle w:val="Default"/>
        <w:spacing w:line="460" w:lineRule="atLeast"/>
        <w:rPr>
          <w:color w:val="auto"/>
          <w:sz w:val="20"/>
          <w:szCs w:val="20"/>
        </w:rPr>
      </w:pPr>
      <w:r w:rsidRPr="00D35C87">
        <w:rPr>
          <w:color w:val="auto"/>
          <w:sz w:val="20"/>
          <w:szCs w:val="20"/>
        </w:rPr>
        <w:t xml:space="preserve">Exhibit B: Statement of Project Concept </w:t>
      </w:r>
    </w:p>
    <w:p w14:paraId="42A9604B" w14:textId="3D0D706C" w:rsidR="009E0DA8" w:rsidRPr="00D35C87" w:rsidRDefault="00803B4B">
      <w:pPr>
        <w:pStyle w:val="Default"/>
        <w:spacing w:line="460" w:lineRule="atLeast"/>
        <w:rPr>
          <w:color w:val="auto"/>
          <w:sz w:val="20"/>
          <w:szCs w:val="20"/>
        </w:rPr>
      </w:pPr>
      <w:r w:rsidRPr="00D35C87">
        <w:rPr>
          <w:color w:val="auto"/>
          <w:sz w:val="20"/>
          <w:szCs w:val="20"/>
        </w:rPr>
        <w:t>Exhibit C</w:t>
      </w:r>
      <w:r w:rsidR="00333E15">
        <w:rPr>
          <w:color w:val="auto"/>
          <w:sz w:val="20"/>
          <w:szCs w:val="20"/>
        </w:rPr>
        <w:t xml:space="preserve">-1 </w:t>
      </w:r>
      <w:r w:rsidR="004F0898">
        <w:rPr>
          <w:color w:val="auto"/>
          <w:sz w:val="20"/>
          <w:szCs w:val="20"/>
        </w:rPr>
        <w:t xml:space="preserve">and </w:t>
      </w:r>
      <w:r w:rsidR="00333E15">
        <w:rPr>
          <w:color w:val="auto"/>
          <w:sz w:val="20"/>
          <w:szCs w:val="20"/>
        </w:rPr>
        <w:t>Exhibit C-2</w:t>
      </w:r>
      <w:r w:rsidRPr="00D35C87">
        <w:rPr>
          <w:color w:val="auto"/>
          <w:sz w:val="20"/>
          <w:szCs w:val="20"/>
        </w:rPr>
        <w:t xml:space="preserve">: </w:t>
      </w:r>
      <w:r w:rsidR="00B9037E">
        <w:rPr>
          <w:color w:val="auto"/>
          <w:sz w:val="20"/>
          <w:szCs w:val="20"/>
        </w:rPr>
        <w:t>Site Specific Training and Safety Requirements</w:t>
      </w:r>
      <w:r w:rsidRPr="00D35C87">
        <w:rPr>
          <w:color w:val="auto"/>
          <w:sz w:val="20"/>
          <w:szCs w:val="20"/>
        </w:rPr>
        <w:t xml:space="preserve"> </w:t>
      </w:r>
    </w:p>
    <w:p w14:paraId="69D8D157" w14:textId="04CCA7EF" w:rsidR="00C23B43" w:rsidRDefault="002A0B54">
      <w:pPr>
        <w:pStyle w:val="Default"/>
        <w:spacing w:line="460" w:lineRule="atLeast"/>
        <w:rPr>
          <w:color w:val="auto"/>
          <w:sz w:val="20"/>
          <w:szCs w:val="20"/>
        </w:rPr>
      </w:pPr>
      <w:r>
        <w:rPr>
          <w:color w:val="auto"/>
          <w:sz w:val="20"/>
          <w:szCs w:val="20"/>
        </w:rPr>
        <w:t xml:space="preserve">Exhibit </w:t>
      </w:r>
      <w:r w:rsidR="00803B4B" w:rsidRPr="00D35C87">
        <w:rPr>
          <w:color w:val="auto"/>
          <w:sz w:val="20"/>
          <w:szCs w:val="20"/>
        </w:rPr>
        <w:t xml:space="preserve">D: </w:t>
      </w:r>
      <w:r w:rsidR="00B9037E" w:rsidRPr="00B9037E">
        <w:rPr>
          <w:color w:val="auto"/>
          <w:sz w:val="20"/>
          <w:szCs w:val="20"/>
        </w:rPr>
        <w:t>PBF MACH2 Holdings LLC CONTRACT</w:t>
      </w:r>
    </w:p>
    <w:p w14:paraId="3011F55C" w14:textId="57F01701" w:rsidR="009E0DA8" w:rsidRDefault="009E0DA8">
      <w:pPr>
        <w:pStyle w:val="Default"/>
        <w:spacing w:line="460" w:lineRule="atLeast"/>
        <w:rPr>
          <w:color w:val="auto"/>
          <w:sz w:val="20"/>
          <w:szCs w:val="20"/>
        </w:rPr>
      </w:pPr>
      <w:r>
        <w:rPr>
          <w:color w:val="auto"/>
          <w:sz w:val="20"/>
          <w:szCs w:val="20"/>
        </w:rPr>
        <w:t xml:space="preserve">Exhibit E: TWIC </w:t>
      </w:r>
    </w:p>
    <w:p w14:paraId="2458CE00" w14:textId="77777777" w:rsidR="00B9037E" w:rsidRPr="00D35C87" w:rsidRDefault="00B9037E">
      <w:pPr>
        <w:pStyle w:val="Default"/>
        <w:spacing w:line="460" w:lineRule="atLeast"/>
        <w:rPr>
          <w:color w:val="auto"/>
          <w:sz w:val="20"/>
          <w:szCs w:val="20"/>
        </w:rPr>
      </w:pPr>
    </w:p>
    <w:p w14:paraId="7C16C475" w14:textId="726B66E2" w:rsidR="00576842" w:rsidRDefault="00576842">
      <w:pPr>
        <w:pStyle w:val="Default"/>
        <w:spacing w:line="460" w:lineRule="atLeast"/>
        <w:rPr>
          <w:color w:val="auto"/>
          <w:sz w:val="20"/>
          <w:szCs w:val="20"/>
        </w:rPr>
      </w:pPr>
    </w:p>
    <w:p w14:paraId="28167C4B" w14:textId="77777777" w:rsidR="00576842" w:rsidRDefault="00576842">
      <w:pPr>
        <w:pStyle w:val="Default"/>
        <w:spacing w:line="460" w:lineRule="atLeast"/>
        <w:rPr>
          <w:color w:val="auto"/>
          <w:sz w:val="20"/>
          <w:szCs w:val="20"/>
        </w:rPr>
      </w:pPr>
    </w:p>
    <w:p w14:paraId="19DE9DAA" w14:textId="77777777" w:rsidR="00576842" w:rsidRDefault="00576842">
      <w:pPr>
        <w:pStyle w:val="Default"/>
        <w:spacing w:line="460" w:lineRule="atLeast"/>
        <w:rPr>
          <w:color w:val="auto"/>
          <w:sz w:val="20"/>
          <w:szCs w:val="20"/>
        </w:rPr>
      </w:pPr>
    </w:p>
    <w:p w14:paraId="46B54DEE" w14:textId="231D4B40" w:rsidR="00576842" w:rsidRDefault="00576842">
      <w:pPr>
        <w:pStyle w:val="Default"/>
        <w:spacing w:line="460" w:lineRule="atLeast"/>
        <w:rPr>
          <w:color w:val="auto"/>
          <w:sz w:val="20"/>
          <w:szCs w:val="20"/>
        </w:rPr>
      </w:pPr>
      <w:r>
        <w:rPr>
          <w:color w:val="auto"/>
          <w:sz w:val="20"/>
          <w:szCs w:val="20"/>
        </w:rPr>
        <w:t>Definitions:</w:t>
      </w:r>
    </w:p>
    <w:p w14:paraId="007D04E8" w14:textId="0AFBAA46" w:rsidR="00576842" w:rsidRPr="00576842" w:rsidRDefault="00576842" w:rsidP="00576842">
      <w:pPr>
        <w:pStyle w:val="Default"/>
        <w:numPr>
          <w:ilvl w:val="0"/>
          <w:numId w:val="8"/>
        </w:numPr>
        <w:spacing w:line="460" w:lineRule="atLeast"/>
        <w:rPr>
          <w:color w:val="auto"/>
          <w:sz w:val="20"/>
          <w:szCs w:val="20"/>
        </w:rPr>
      </w:pPr>
      <w:r w:rsidRPr="00576842">
        <w:rPr>
          <w:color w:val="auto"/>
          <w:sz w:val="20"/>
          <w:szCs w:val="20"/>
        </w:rPr>
        <w:t>GHG: Greenhouse gas</w:t>
      </w:r>
    </w:p>
    <w:p w14:paraId="23D9B6D9" w14:textId="73F140A6" w:rsidR="00576842" w:rsidRPr="00576842" w:rsidRDefault="00576842" w:rsidP="00576842">
      <w:pPr>
        <w:pStyle w:val="Default"/>
        <w:numPr>
          <w:ilvl w:val="0"/>
          <w:numId w:val="8"/>
        </w:numPr>
        <w:spacing w:line="460" w:lineRule="atLeast"/>
        <w:rPr>
          <w:color w:val="auto"/>
          <w:sz w:val="20"/>
          <w:szCs w:val="20"/>
        </w:rPr>
      </w:pPr>
      <w:r w:rsidRPr="00576842">
        <w:rPr>
          <w:rFonts w:cs="Aptos"/>
          <w:sz w:val="20"/>
          <w:szCs w:val="20"/>
        </w:rPr>
        <w:t>CAGR: Compound Annual Growth Rate</w:t>
      </w:r>
    </w:p>
    <w:p w14:paraId="76C88420" w14:textId="777DC0AE" w:rsidR="00576842" w:rsidRPr="00576842" w:rsidRDefault="00576842" w:rsidP="00576842">
      <w:pPr>
        <w:pStyle w:val="Default"/>
        <w:numPr>
          <w:ilvl w:val="0"/>
          <w:numId w:val="8"/>
        </w:numPr>
        <w:spacing w:line="460" w:lineRule="atLeast"/>
        <w:rPr>
          <w:color w:val="auto"/>
          <w:sz w:val="20"/>
          <w:szCs w:val="20"/>
        </w:rPr>
      </w:pPr>
      <w:r w:rsidRPr="00576842">
        <w:rPr>
          <w:sz w:val="20"/>
          <w:szCs w:val="20"/>
        </w:rPr>
        <w:t>MACH2 consortium: Officially known as the </w:t>
      </w:r>
      <w:hyperlink r:id="rId8" w:tgtFrame="_blank" w:history="1">
        <w:r w:rsidRPr="00576842">
          <w:rPr>
            <w:rStyle w:val="Hyperlink"/>
            <w:sz w:val="20"/>
            <w:szCs w:val="20"/>
          </w:rPr>
          <w:t>Mid-Atlantic Clean Hydrogen Hub</w:t>
        </w:r>
      </w:hyperlink>
      <w:r w:rsidRPr="00576842">
        <w:rPr>
          <w:sz w:val="20"/>
          <w:szCs w:val="20"/>
        </w:rPr>
        <w:t>, is a public-private partnership focused on developing a clean hydrogen economy in Delaware, Southeastern Pennsylvania, and South Jersey</w:t>
      </w:r>
    </w:p>
    <w:p w14:paraId="2F236098" w14:textId="4C15DBC2" w:rsidR="00576842" w:rsidRPr="00576842" w:rsidRDefault="00576842" w:rsidP="00576842">
      <w:pPr>
        <w:pStyle w:val="Default"/>
        <w:numPr>
          <w:ilvl w:val="0"/>
          <w:numId w:val="8"/>
        </w:numPr>
        <w:spacing w:line="460" w:lineRule="atLeast"/>
        <w:rPr>
          <w:color w:val="auto"/>
          <w:sz w:val="20"/>
          <w:szCs w:val="20"/>
        </w:rPr>
      </w:pPr>
      <w:r w:rsidRPr="00576842">
        <w:rPr>
          <w:color w:val="auto"/>
          <w:sz w:val="20"/>
          <w:szCs w:val="20"/>
        </w:rPr>
        <w:t>PADD 1, 2 &amp; 3: Petroleum Administration for Defense Districts, specifically the East Coast (PADD 1), Midwest (PADD 2), and Gulf Coast (PADD 3) regions of the United States.</w:t>
      </w:r>
    </w:p>
    <w:p w14:paraId="397CA75A" w14:textId="77777777" w:rsidR="00576842" w:rsidRPr="00D35C87" w:rsidRDefault="00576842">
      <w:pPr>
        <w:pStyle w:val="Default"/>
        <w:spacing w:line="460" w:lineRule="atLeast"/>
        <w:rPr>
          <w:color w:val="auto"/>
          <w:sz w:val="20"/>
          <w:szCs w:val="20"/>
        </w:rPr>
      </w:pPr>
    </w:p>
    <w:p w14:paraId="62AC4B7C" w14:textId="0EA2708D" w:rsidR="00803B4B" w:rsidRPr="00E73C20" w:rsidRDefault="00803B4B">
      <w:pPr>
        <w:pStyle w:val="CM19"/>
        <w:pageBreakBefore/>
        <w:spacing w:after="455" w:line="231" w:lineRule="atLeast"/>
        <w:jc w:val="center"/>
        <w:rPr>
          <w:color w:val="000000"/>
          <w:sz w:val="20"/>
          <w:szCs w:val="20"/>
        </w:rPr>
      </w:pPr>
      <w:r w:rsidRPr="00E73C20">
        <w:rPr>
          <w:b/>
          <w:bCs/>
          <w:color w:val="000000"/>
          <w:sz w:val="20"/>
          <w:szCs w:val="20"/>
        </w:rPr>
        <w:lastRenderedPageBreak/>
        <w:t xml:space="preserve">REQUEST FOR PROPOSAL </w:t>
      </w:r>
      <w:r w:rsidR="006D4FDA" w:rsidRPr="00E73C20">
        <w:rPr>
          <w:b/>
          <w:bCs/>
          <w:color w:val="000000"/>
          <w:sz w:val="20"/>
          <w:szCs w:val="20"/>
        </w:rPr>
        <w:t>INSRUCTIONS TO BIDDERS</w:t>
      </w:r>
    </w:p>
    <w:p w14:paraId="2D464DB3" w14:textId="404B017C" w:rsidR="00D229CF" w:rsidRDefault="00D229CF" w:rsidP="00740159">
      <w:pPr>
        <w:pStyle w:val="Default"/>
        <w:jc w:val="both"/>
        <w:rPr>
          <w:sz w:val="20"/>
          <w:szCs w:val="20"/>
        </w:rPr>
      </w:pPr>
      <w:r w:rsidRPr="00E73C20">
        <w:rPr>
          <w:sz w:val="20"/>
          <w:szCs w:val="20"/>
        </w:rPr>
        <w:t xml:space="preserve">As a sub-recipient of MACH2 consortium, </w:t>
      </w:r>
      <w:r w:rsidR="00606005" w:rsidRPr="00E73C20">
        <w:rPr>
          <w:sz w:val="20"/>
          <w:szCs w:val="20"/>
        </w:rPr>
        <w:t>PBF MACH2 Holdings LLC(PBF)</w:t>
      </w:r>
      <w:r w:rsidRPr="00E73C20">
        <w:rPr>
          <w:sz w:val="20"/>
          <w:szCs w:val="20"/>
        </w:rPr>
        <w:t xml:space="preserve"> intends to develop a low-carbon hydrogen production facility to economically produce hydrogen in line with the growing demand for low-carbon energy solutions. The clean hydrogen would serve as a feedstock for a potential world-scale methanol plant located at our Delaware Complex. (i.e., Delaware City or Paulsboro refinery) We expect the current scope of green hydrogen production to be approximately 50,000 MT/y (58 MMSCFD or 151 short tons/day), utilizing approximately 350 MW of electrolyzers.  </w:t>
      </w:r>
    </w:p>
    <w:p w14:paraId="056DC1E7" w14:textId="77777777" w:rsidR="009B5DE5" w:rsidRPr="00E73C20" w:rsidRDefault="009B5DE5" w:rsidP="00740159">
      <w:pPr>
        <w:pStyle w:val="Default"/>
        <w:jc w:val="both"/>
        <w:rPr>
          <w:sz w:val="20"/>
          <w:szCs w:val="20"/>
        </w:rPr>
      </w:pPr>
    </w:p>
    <w:p w14:paraId="7D1F9B39" w14:textId="77777777" w:rsidR="00D229CF" w:rsidRPr="00E73C20" w:rsidRDefault="00D229CF" w:rsidP="00740159">
      <w:pPr>
        <w:pStyle w:val="Default"/>
        <w:jc w:val="both"/>
        <w:rPr>
          <w:sz w:val="20"/>
          <w:szCs w:val="20"/>
        </w:rPr>
      </w:pPr>
      <w:r w:rsidRPr="00E73C20">
        <w:rPr>
          <w:sz w:val="20"/>
          <w:szCs w:val="20"/>
        </w:rPr>
        <w:t xml:space="preserve">Transportation access will be critical to create an economic methanol value chain from refinery gate to customer. PBF’s Delaware complex has access to world-class rail transportation and wharf access providing opportunities to ship and barge products along the US coast into major demand centers (e.g., New York Harbor, Philadelphia, Wilmington, NC and Chesapeake, VA) and into European markets. </w:t>
      </w:r>
    </w:p>
    <w:p w14:paraId="20A3D95D" w14:textId="77777777" w:rsidR="00606005" w:rsidRPr="00E73C20" w:rsidRDefault="00606005" w:rsidP="00740159">
      <w:pPr>
        <w:pStyle w:val="Default"/>
        <w:jc w:val="both"/>
        <w:rPr>
          <w:sz w:val="20"/>
          <w:szCs w:val="20"/>
        </w:rPr>
      </w:pPr>
    </w:p>
    <w:p w14:paraId="4092D9AF" w14:textId="5E669660" w:rsidR="00D229CF" w:rsidRPr="00E73C20" w:rsidRDefault="00D229CF" w:rsidP="00740159">
      <w:pPr>
        <w:pStyle w:val="Default"/>
        <w:jc w:val="both"/>
        <w:rPr>
          <w:sz w:val="20"/>
          <w:szCs w:val="20"/>
        </w:rPr>
      </w:pPr>
      <w:r w:rsidRPr="00E73C20">
        <w:rPr>
          <w:sz w:val="20"/>
          <w:szCs w:val="20"/>
        </w:rPr>
        <w:t xml:space="preserve">PBF is requesting bids to perform a comprehensive market study of the global methanol market with a deep dive into the US and global shipping market. This study will inform PBF’s potential investment in the production of grey methanol or blue /green methanol.  Please note, for PBF to produce blue methanol, the captured CO2 would either be sold as off-take and/or combined with green hydrogen to produce blue methanol. Underground sequestration in the Delaware Valley is not considered a viable alternative from a regulatory / permitting or cost perspective. </w:t>
      </w:r>
    </w:p>
    <w:p w14:paraId="32EA37AC" w14:textId="77777777" w:rsidR="00606005" w:rsidRPr="00E73C20" w:rsidRDefault="00606005" w:rsidP="00740159">
      <w:pPr>
        <w:pStyle w:val="Default"/>
        <w:jc w:val="both"/>
        <w:rPr>
          <w:sz w:val="20"/>
          <w:szCs w:val="20"/>
        </w:rPr>
      </w:pPr>
    </w:p>
    <w:p w14:paraId="2F3FBBCA" w14:textId="77777777" w:rsidR="00F94948" w:rsidRDefault="00D229CF" w:rsidP="00740159">
      <w:pPr>
        <w:pStyle w:val="Default"/>
        <w:jc w:val="both"/>
        <w:rPr>
          <w:sz w:val="20"/>
          <w:szCs w:val="20"/>
        </w:rPr>
      </w:pPr>
      <w:r w:rsidRPr="00E73C20">
        <w:rPr>
          <w:sz w:val="20"/>
          <w:szCs w:val="20"/>
        </w:rPr>
        <w:t xml:space="preserve">The purpose of the study is to understand the basic underlying fundamentals of methanol market formation to facilitate the following investment decisions: what “color” of methanol to produce; the cost-to-produce required to effectively compete on a global scale, where and to whom PBF’s products could be sold (“addressable demand”), and what price / revenue could be captured. </w:t>
      </w:r>
    </w:p>
    <w:p w14:paraId="0A4D3F93" w14:textId="77777777" w:rsidR="00F94948" w:rsidRDefault="00F94948" w:rsidP="00740159">
      <w:pPr>
        <w:pStyle w:val="Default"/>
        <w:jc w:val="both"/>
        <w:rPr>
          <w:sz w:val="20"/>
          <w:szCs w:val="20"/>
        </w:rPr>
      </w:pPr>
    </w:p>
    <w:p w14:paraId="2DBEA874" w14:textId="47B4ED76" w:rsidR="006D4FDA" w:rsidRPr="00E73C20" w:rsidRDefault="00D229CF" w:rsidP="00740159">
      <w:pPr>
        <w:pStyle w:val="Default"/>
        <w:jc w:val="both"/>
        <w:rPr>
          <w:sz w:val="20"/>
          <w:szCs w:val="20"/>
        </w:rPr>
      </w:pPr>
      <w:r w:rsidRPr="00E73C20">
        <w:rPr>
          <w:sz w:val="20"/>
          <w:szCs w:val="20"/>
        </w:rPr>
        <w:t xml:space="preserve">To inform these choices, the RFP scope includes developing a “bottom’s up” assessment of supply, addressable demand, cost to produce, laid-in transportation cost, tax incentive implications, and price or “willingness to pay.” All analytic requests below should be completed for each grey, blue and green methanol with forecast estimates for the next ~5-years (short-term) and the next ~10-20-years. (long-term) </w:t>
      </w:r>
      <w:r w:rsidR="00F94948">
        <w:rPr>
          <w:sz w:val="20"/>
          <w:szCs w:val="20"/>
        </w:rPr>
        <w:t>In addition, w</w:t>
      </w:r>
      <w:r w:rsidRPr="00E73C20">
        <w:rPr>
          <w:sz w:val="20"/>
          <w:szCs w:val="20"/>
        </w:rPr>
        <w:t xml:space="preserve">e are also looking </w:t>
      </w:r>
      <w:r w:rsidR="00CC67E3">
        <w:rPr>
          <w:sz w:val="20"/>
          <w:szCs w:val="20"/>
        </w:rPr>
        <w:t xml:space="preserve">for a </w:t>
      </w:r>
      <w:proofErr w:type="gramStart"/>
      <w:r w:rsidRPr="00E73C20">
        <w:rPr>
          <w:sz w:val="20"/>
          <w:szCs w:val="20"/>
        </w:rPr>
        <w:t xml:space="preserve">best and </w:t>
      </w:r>
      <w:r w:rsidR="00CC67E3" w:rsidRPr="00E73C20">
        <w:rPr>
          <w:sz w:val="20"/>
          <w:szCs w:val="20"/>
        </w:rPr>
        <w:t>worst case</w:t>
      </w:r>
      <w:proofErr w:type="gramEnd"/>
      <w:r w:rsidRPr="00E73C20">
        <w:rPr>
          <w:sz w:val="20"/>
          <w:szCs w:val="20"/>
        </w:rPr>
        <w:t xml:space="preserve"> scenarios particularly around pricing and demand formation.</w:t>
      </w:r>
    </w:p>
    <w:p w14:paraId="506F948B" w14:textId="77777777" w:rsidR="00D229CF" w:rsidRPr="00E73C20" w:rsidRDefault="00D229CF" w:rsidP="00D229CF">
      <w:pPr>
        <w:pStyle w:val="Default"/>
        <w:rPr>
          <w:sz w:val="20"/>
          <w:szCs w:val="20"/>
        </w:rPr>
      </w:pPr>
    </w:p>
    <w:p w14:paraId="698204FD" w14:textId="7AE0EF09" w:rsidR="00D229CF" w:rsidRPr="00F94948" w:rsidRDefault="00D229CF" w:rsidP="00D229CF">
      <w:pPr>
        <w:pStyle w:val="Default"/>
        <w:rPr>
          <w:b/>
          <w:bCs/>
          <w:sz w:val="20"/>
          <w:szCs w:val="20"/>
        </w:rPr>
      </w:pPr>
      <w:r w:rsidRPr="00F94948">
        <w:rPr>
          <w:b/>
          <w:bCs/>
          <w:sz w:val="20"/>
          <w:szCs w:val="20"/>
        </w:rPr>
        <w:t>Instructions:</w:t>
      </w:r>
    </w:p>
    <w:p w14:paraId="6ADC63AC" w14:textId="77777777" w:rsidR="00D229CF" w:rsidRPr="00E73C20" w:rsidRDefault="00D229CF" w:rsidP="00D229CF">
      <w:pPr>
        <w:pStyle w:val="Default"/>
        <w:rPr>
          <w:sz w:val="20"/>
          <w:szCs w:val="20"/>
        </w:rPr>
      </w:pPr>
    </w:p>
    <w:p w14:paraId="66420CB7" w14:textId="77777777" w:rsidR="003D37EA" w:rsidRDefault="002F1A73" w:rsidP="002F1A73">
      <w:pPr>
        <w:pStyle w:val="CM18"/>
        <w:numPr>
          <w:ilvl w:val="0"/>
          <w:numId w:val="14"/>
        </w:numPr>
        <w:spacing w:after="225" w:line="231" w:lineRule="atLeast"/>
        <w:jc w:val="both"/>
        <w:rPr>
          <w:color w:val="000000"/>
          <w:sz w:val="20"/>
          <w:szCs w:val="20"/>
        </w:rPr>
      </w:pPr>
      <w:r w:rsidRPr="00E73C20">
        <w:rPr>
          <w:color w:val="000000"/>
          <w:sz w:val="20"/>
          <w:szCs w:val="20"/>
        </w:rPr>
        <w:t>PBF</w:t>
      </w:r>
      <w:r w:rsidR="00803B4B" w:rsidRPr="00E73C20">
        <w:rPr>
          <w:color w:val="000000"/>
          <w:sz w:val="20"/>
          <w:szCs w:val="20"/>
        </w:rPr>
        <w:t xml:space="preserve"> will use the Information subject to the conditions outlined in the applicable bid package. </w:t>
      </w:r>
    </w:p>
    <w:p w14:paraId="313B89E5" w14:textId="48D31E66" w:rsidR="00803B4B" w:rsidRPr="003D37EA" w:rsidRDefault="00803B4B" w:rsidP="002F1A73">
      <w:pPr>
        <w:pStyle w:val="CM18"/>
        <w:numPr>
          <w:ilvl w:val="0"/>
          <w:numId w:val="14"/>
        </w:numPr>
        <w:spacing w:after="225" w:line="231" w:lineRule="atLeast"/>
        <w:jc w:val="both"/>
        <w:rPr>
          <w:color w:val="000000"/>
          <w:sz w:val="20"/>
          <w:szCs w:val="20"/>
        </w:rPr>
      </w:pPr>
      <w:r w:rsidRPr="003D37EA">
        <w:rPr>
          <w:sz w:val="20"/>
          <w:szCs w:val="20"/>
        </w:rPr>
        <w:t xml:space="preserve">Bidders will not submit any information through this RFP that includes “personal information,” defined as follows: </w:t>
      </w:r>
    </w:p>
    <w:p w14:paraId="5425E9CF" w14:textId="77777777" w:rsidR="00803B4B" w:rsidRDefault="00803B4B">
      <w:pPr>
        <w:pStyle w:val="CM18"/>
        <w:spacing w:after="225" w:line="231" w:lineRule="atLeast"/>
        <w:jc w:val="center"/>
        <w:rPr>
          <w:color w:val="000000"/>
          <w:sz w:val="20"/>
          <w:szCs w:val="20"/>
        </w:rPr>
      </w:pPr>
      <w:r w:rsidRPr="00E73C20">
        <w:rPr>
          <w:color w:val="000000"/>
          <w:sz w:val="20"/>
          <w:szCs w:val="20"/>
        </w:rPr>
        <w:t xml:space="preserve">i) an individual’s first name or initial and last name along with any of the following: </w:t>
      </w:r>
    </w:p>
    <w:p w14:paraId="4D879F50" w14:textId="08864A86" w:rsidR="00803B4B" w:rsidRPr="00E73C20" w:rsidRDefault="00803B4B" w:rsidP="00A2042E">
      <w:pPr>
        <w:pStyle w:val="Default"/>
        <w:numPr>
          <w:ilvl w:val="0"/>
          <w:numId w:val="19"/>
        </w:numPr>
        <w:spacing w:after="226"/>
        <w:ind w:left="720" w:firstLine="360"/>
        <w:rPr>
          <w:sz w:val="20"/>
          <w:szCs w:val="20"/>
        </w:rPr>
      </w:pPr>
      <w:r w:rsidRPr="00E73C20">
        <w:rPr>
          <w:sz w:val="20"/>
          <w:szCs w:val="20"/>
        </w:rPr>
        <w:t xml:space="preserve">social security </w:t>
      </w:r>
      <w:proofErr w:type="gramStart"/>
      <w:r w:rsidRPr="00E73C20">
        <w:rPr>
          <w:sz w:val="20"/>
          <w:szCs w:val="20"/>
        </w:rPr>
        <w:t>number;</w:t>
      </w:r>
      <w:proofErr w:type="gramEnd"/>
      <w:r w:rsidRPr="00E73C20">
        <w:rPr>
          <w:sz w:val="20"/>
          <w:szCs w:val="20"/>
        </w:rPr>
        <w:t xml:space="preserve"> </w:t>
      </w:r>
    </w:p>
    <w:p w14:paraId="66F7963A" w14:textId="77777777" w:rsidR="00803B4B" w:rsidRPr="00E73C20" w:rsidRDefault="00803B4B" w:rsidP="00A2042E">
      <w:pPr>
        <w:pStyle w:val="Default"/>
        <w:numPr>
          <w:ilvl w:val="0"/>
          <w:numId w:val="19"/>
        </w:numPr>
        <w:spacing w:after="226"/>
        <w:ind w:left="1080"/>
        <w:rPr>
          <w:sz w:val="20"/>
          <w:szCs w:val="20"/>
        </w:rPr>
      </w:pPr>
      <w:r w:rsidRPr="00E73C20">
        <w:rPr>
          <w:sz w:val="20"/>
          <w:szCs w:val="20"/>
        </w:rPr>
        <w:t>driver's license number, state identification card number or other government identification number (though, for clarity, submitting a state contractor’s licensing number is acceptable, and sometimes required</w:t>
      </w:r>
      <w:proofErr w:type="gramStart"/>
      <w:r w:rsidRPr="00E73C20">
        <w:rPr>
          <w:sz w:val="20"/>
          <w:szCs w:val="20"/>
        </w:rPr>
        <w:t>);</w:t>
      </w:r>
      <w:proofErr w:type="gramEnd"/>
      <w:r w:rsidRPr="00E73C20">
        <w:rPr>
          <w:sz w:val="20"/>
          <w:szCs w:val="20"/>
        </w:rPr>
        <w:t xml:space="preserve"> </w:t>
      </w:r>
    </w:p>
    <w:p w14:paraId="434B2AED" w14:textId="77777777" w:rsidR="00803B4B" w:rsidRPr="00E73C20" w:rsidRDefault="00803B4B" w:rsidP="00A2042E">
      <w:pPr>
        <w:pStyle w:val="Default"/>
        <w:numPr>
          <w:ilvl w:val="0"/>
          <w:numId w:val="19"/>
        </w:numPr>
        <w:spacing w:after="226"/>
        <w:ind w:left="1080"/>
        <w:rPr>
          <w:sz w:val="20"/>
          <w:szCs w:val="20"/>
        </w:rPr>
      </w:pPr>
      <w:r w:rsidRPr="00E73C20">
        <w:rPr>
          <w:sz w:val="20"/>
          <w:szCs w:val="20"/>
        </w:rPr>
        <w:t xml:space="preserve">account number, credit card number, or debit card number in combination with any required security code, access code, or password that would permit access to an individual's financial </w:t>
      </w:r>
      <w:proofErr w:type="gramStart"/>
      <w:r w:rsidRPr="00E73C20">
        <w:rPr>
          <w:sz w:val="20"/>
          <w:szCs w:val="20"/>
        </w:rPr>
        <w:t>account;</w:t>
      </w:r>
      <w:proofErr w:type="gramEnd"/>
      <w:r w:rsidRPr="00E73C20">
        <w:rPr>
          <w:sz w:val="20"/>
          <w:szCs w:val="20"/>
        </w:rPr>
        <w:t xml:space="preserve"> </w:t>
      </w:r>
    </w:p>
    <w:p w14:paraId="35BAA99A" w14:textId="77777777" w:rsidR="00803B4B" w:rsidRPr="00E73C20" w:rsidRDefault="00803B4B" w:rsidP="00A2042E">
      <w:pPr>
        <w:pStyle w:val="Default"/>
        <w:numPr>
          <w:ilvl w:val="0"/>
          <w:numId w:val="19"/>
        </w:numPr>
        <w:spacing w:after="226"/>
        <w:ind w:left="1080"/>
        <w:rPr>
          <w:sz w:val="20"/>
          <w:szCs w:val="20"/>
        </w:rPr>
      </w:pPr>
      <w:r w:rsidRPr="00E73C20">
        <w:rPr>
          <w:sz w:val="20"/>
          <w:szCs w:val="20"/>
        </w:rPr>
        <w:t>vital record information in form of life events kept under government authority (i.e., birth certificates, death certificates</w:t>
      </w:r>
      <w:proofErr w:type="gramStart"/>
      <w:r w:rsidRPr="00E73C20">
        <w:rPr>
          <w:sz w:val="20"/>
          <w:szCs w:val="20"/>
        </w:rPr>
        <w:t>);</w:t>
      </w:r>
      <w:proofErr w:type="gramEnd"/>
      <w:r w:rsidRPr="00E73C20">
        <w:rPr>
          <w:sz w:val="20"/>
          <w:szCs w:val="20"/>
        </w:rPr>
        <w:t xml:space="preserve"> </w:t>
      </w:r>
    </w:p>
    <w:p w14:paraId="55095B2D"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t>biometric data (e.g., retina, iris image, fingerprints</w:t>
      </w:r>
      <w:proofErr w:type="gramStart"/>
      <w:r w:rsidRPr="00E73C20">
        <w:rPr>
          <w:sz w:val="20"/>
          <w:szCs w:val="20"/>
        </w:rPr>
        <w:t>);</w:t>
      </w:r>
      <w:proofErr w:type="gramEnd"/>
      <w:r w:rsidRPr="00E73C20">
        <w:rPr>
          <w:sz w:val="20"/>
          <w:szCs w:val="20"/>
        </w:rPr>
        <w:t xml:space="preserve"> </w:t>
      </w:r>
    </w:p>
    <w:p w14:paraId="62FBAC34"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lastRenderedPageBreak/>
        <w:t xml:space="preserve">medical information, including physical or mental health </w:t>
      </w:r>
      <w:proofErr w:type="gramStart"/>
      <w:r w:rsidRPr="00E73C20">
        <w:rPr>
          <w:sz w:val="20"/>
          <w:szCs w:val="20"/>
        </w:rPr>
        <w:t>information;</w:t>
      </w:r>
      <w:proofErr w:type="gramEnd"/>
      <w:r w:rsidRPr="00E73C20">
        <w:rPr>
          <w:sz w:val="20"/>
          <w:szCs w:val="20"/>
        </w:rPr>
        <w:t xml:space="preserve"> </w:t>
      </w:r>
    </w:p>
    <w:p w14:paraId="6C0A4571"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t xml:space="preserve">health insurance identification </w:t>
      </w:r>
      <w:proofErr w:type="gramStart"/>
      <w:r w:rsidRPr="00E73C20">
        <w:rPr>
          <w:sz w:val="20"/>
          <w:szCs w:val="20"/>
        </w:rPr>
        <w:t>number;</w:t>
      </w:r>
      <w:proofErr w:type="gramEnd"/>
      <w:r w:rsidRPr="00E73C20">
        <w:rPr>
          <w:sz w:val="20"/>
          <w:szCs w:val="20"/>
        </w:rPr>
        <w:t xml:space="preserve"> </w:t>
      </w:r>
    </w:p>
    <w:p w14:paraId="6116F83C"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t xml:space="preserve">the provision of health care to an </w:t>
      </w:r>
      <w:proofErr w:type="gramStart"/>
      <w:r w:rsidRPr="00E73C20">
        <w:rPr>
          <w:sz w:val="20"/>
          <w:szCs w:val="20"/>
        </w:rPr>
        <w:t>individual;</w:t>
      </w:r>
      <w:proofErr w:type="gramEnd"/>
      <w:r w:rsidRPr="00E73C20">
        <w:rPr>
          <w:sz w:val="20"/>
          <w:szCs w:val="20"/>
        </w:rPr>
        <w:t xml:space="preserve"> </w:t>
      </w:r>
    </w:p>
    <w:p w14:paraId="493DFD1F"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t xml:space="preserve">payment information regarding the provision of health care to the </w:t>
      </w:r>
      <w:proofErr w:type="gramStart"/>
      <w:r w:rsidRPr="00E73C20">
        <w:rPr>
          <w:sz w:val="20"/>
          <w:szCs w:val="20"/>
        </w:rPr>
        <w:t>individual;</w:t>
      </w:r>
      <w:proofErr w:type="gramEnd"/>
      <w:r w:rsidRPr="00E73C20">
        <w:rPr>
          <w:sz w:val="20"/>
          <w:szCs w:val="20"/>
        </w:rPr>
        <w:t xml:space="preserve"> </w:t>
      </w:r>
    </w:p>
    <w:p w14:paraId="6A247A9B" w14:textId="77777777" w:rsidR="00803B4B" w:rsidRPr="00E73C20" w:rsidRDefault="00803B4B" w:rsidP="00A2042E">
      <w:pPr>
        <w:pStyle w:val="Default"/>
        <w:numPr>
          <w:ilvl w:val="0"/>
          <w:numId w:val="19"/>
        </w:numPr>
        <w:spacing w:after="226"/>
        <w:ind w:left="720" w:firstLine="360"/>
        <w:rPr>
          <w:sz w:val="20"/>
          <w:szCs w:val="20"/>
        </w:rPr>
      </w:pPr>
      <w:r w:rsidRPr="00E73C20">
        <w:rPr>
          <w:sz w:val="20"/>
          <w:szCs w:val="20"/>
        </w:rPr>
        <w:t xml:space="preserve">mother's maiden </w:t>
      </w:r>
      <w:proofErr w:type="gramStart"/>
      <w:r w:rsidRPr="00E73C20">
        <w:rPr>
          <w:sz w:val="20"/>
          <w:szCs w:val="20"/>
        </w:rPr>
        <w:t>name;</w:t>
      </w:r>
      <w:proofErr w:type="gramEnd"/>
      <w:r w:rsidRPr="00E73C20">
        <w:rPr>
          <w:sz w:val="20"/>
          <w:szCs w:val="20"/>
        </w:rPr>
        <w:t xml:space="preserve"> </w:t>
      </w:r>
    </w:p>
    <w:p w14:paraId="14807F2D" w14:textId="77777777" w:rsidR="00803B4B" w:rsidRPr="00E73C20" w:rsidRDefault="00803B4B" w:rsidP="00A2042E">
      <w:pPr>
        <w:pStyle w:val="Default"/>
        <w:numPr>
          <w:ilvl w:val="0"/>
          <w:numId w:val="19"/>
        </w:numPr>
        <w:ind w:left="720" w:firstLine="360"/>
        <w:rPr>
          <w:sz w:val="20"/>
          <w:szCs w:val="20"/>
        </w:rPr>
      </w:pPr>
      <w:r w:rsidRPr="00E73C20">
        <w:rPr>
          <w:sz w:val="20"/>
          <w:szCs w:val="20"/>
        </w:rPr>
        <w:t xml:space="preserve">stock or other security certificate or account number; or </w:t>
      </w:r>
    </w:p>
    <w:p w14:paraId="509D26F8" w14:textId="77777777" w:rsidR="006D4FDA" w:rsidRPr="00E73C20" w:rsidRDefault="006D4FDA" w:rsidP="00A2042E">
      <w:pPr>
        <w:pStyle w:val="Default"/>
        <w:ind w:left="2160" w:firstLine="360"/>
        <w:rPr>
          <w:sz w:val="20"/>
          <w:szCs w:val="20"/>
        </w:rPr>
      </w:pPr>
    </w:p>
    <w:p w14:paraId="7D94B568" w14:textId="75AB8869" w:rsidR="006D4FDA" w:rsidRPr="00E73C20" w:rsidRDefault="006D4FDA" w:rsidP="00A2042E">
      <w:pPr>
        <w:pStyle w:val="Default"/>
        <w:numPr>
          <w:ilvl w:val="0"/>
          <w:numId w:val="19"/>
        </w:numPr>
        <w:ind w:left="1080"/>
        <w:rPr>
          <w:sz w:val="20"/>
          <w:szCs w:val="20"/>
        </w:rPr>
      </w:pPr>
      <w:r w:rsidRPr="00E73C20">
        <w:rPr>
          <w:sz w:val="20"/>
          <w:szCs w:val="20"/>
        </w:rPr>
        <w:t>any other number or code or combination of numbers or codes, such as account number, security code, access code, or password, that allows access to or use of an individual's medical, financial or credit information.</w:t>
      </w:r>
    </w:p>
    <w:p w14:paraId="535F8E11" w14:textId="77777777" w:rsidR="00803B4B" w:rsidRDefault="00803B4B">
      <w:pPr>
        <w:pStyle w:val="CM1"/>
        <w:pageBreakBefore/>
        <w:spacing w:after="277"/>
        <w:jc w:val="center"/>
        <w:rPr>
          <w:color w:val="000000"/>
          <w:sz w:val="20"/>
          <w:szCs w:val="20"/>
        </w:rPr>
      </w:pPr>
      <w:r>
        <w:rPr>
          <w:b/>
          <w:bCs/>
          <w:color w:val="000000"/>
          <w:sz w:val="20"/>
          <w:szCs w:val="20"/>
        </w:rPr>
        <w:lastRenderedPageBreak/>
        <w:t xml:space="preserve">INSTRUCTIONS TO BIDDERS </w:t>
      </w:r>
    </w:p>
    <w:p w14:paraId="13D9FAF8" w14:textId="77777777" w:rsidR="00803B4B" w:rsidRDefault="00803B4B" w:rsidP="00787312">
      <w:pPr>
        <w:pStyle w:val="CM18"/>
        <w:spacing w:after="225"/>
        <w:rPr>
          <w:color w:val="000000"/>
          <w:sz w:val="20"/>
          <w:szCs w:val="20"/>
        </w:rPr>
      </w:pPr>
      <w:r>
        <w:rPr>
          <w:b/>
          <w:bCs/>
          <w:color w:val="000000"/>
          <w:sz w:val="20"/>
          <w:szCs w:val="20"/>
        </w:rPr>
        <w:t xml:space="preserve">1.0 GENERAL INFORMATION </w:t>
      </w:r>
    </w:p>
    <w:p w14:paraId="2C7DB8F0" w14:textId="08151EB5" w:rsidR="00803B4B" w:rsidRDefault="00803B4B" w:rsidP="00787312">
      <w:pPr>
        <w:pStyle w:val="CM18"/>
        <w:spacing w:after="225" w:line="231" w:lineRule="atLeast"/>
        <w:rPr>
          <w:color w:val="000000"/>
          <w:sz w:val="20"/>
          <w:szCs w:val="20"/>
        </w:rPr>
      </w:pPr>
      <w:r>
        <w:rPr>
          <w:color w:val="000000"/>
          <w:sz w:val="20"/>
          <w:szCs w:val="20"/>
        </w:rPr>
        <w:t xml:space="preserve">You are hereby invited on behalf of </w:t>
      </w:r>
      <w:r w:rsidR="009C3891">
        <w:rPr>
          <w:color w:val="000000"/>
          <w:sz w:val="20"/>
          <w:szCs w:val="20"/>
        </w:rPr>
        <w:t xml:space="preserve">PBF MACH2 Holdings LLC </w:t>
      </w:r>
      <w:r>
        <w:rPr>
          <w:color w:val="000000"/>
          <w:sz w:val="20"/>
          <w:szCs w:val="20"/>
        </w:rPr>
        <w:t xml:space="preserve">to submit your proposal for a </w:t>
      </w:r>
      <w:r w:rsidR="005C341B" w:rsidRPr="005C341B">
        <w:rPr>
          <w:sz w:val="20"/>
          <w:szCs w:val="20"/>
        </w:rPr>
        <w:t xml:space="preserve">Methanol Market Study </w:t>
      </w:r>
      <w:r>
        <w:rPr>
          <w:color w:val="000000"/>
          <w:sz w:val="20"/>
          <w:szCs w:val="20"/>
        </w:rPr>
        <w:t xml:space="preserve">in accordance with this Request for Proposal including all Documents and Exhibits listed in the Table of Contents. </w:t>
      </w:r>
    </w:p>
    <w:p w14:paraId="6E2C958B" w14:textId="7B0CC3C5" w:rsidR="00803B4B" w:rsidRDefault="00803B4B" w:rsidP="00787312">
      <w:pPr>
        <w:pStyle w:val="CM18"/>
        <w:spacing w:after="225" w:line="231" w:lineRule="atLeast"/>
        <w:rPr>
          <w:color w:val="000000"/>
          <w:sz w:val="20"/>
          <w:szCs w:val="20"/>
        </w:rPr>
      </w:pPr>
      <w:r>
        <w:rPr>
          <w:color w:val="000000"/>
          <w:sz w:val="20"/>
          <w:szCs w:val="20"/>
        </w:rPr>
        <w:t xml:space="preserve">Commercial options for lump sum </w:t>
      </w:r>
      <w:r w:rsidR="00D35C87">
        <w:rPr>
          <w:color w:val="000000"/>
          <w:sz w:val="20"/>
          <w:szCs w:val="20"/>
        </w:rPr>
        <w:t xml:space="preserve">compensation </w:t>
      </w:r>
      <w:r>
        <w:rPr>
          <w:color w:val="000000"/>
          <w:sz w:val="20"/>
          <w:szCs w:val="20"/>
        </w:rPr>
        <w:t xml:space="preserve">should be provided. </w:t>
      </w:r>
    </w:p>
    <w:p w14:paraId="0F64E2F3" w14:textId="77777777" w:rsidR="00803B4B" w:rsidRDefault="00803B4B" w:rsidP="00787312">
      <w:pPr>
        <w:pStyle w:val="CM19"/>
        <w:spacing w:after="455" w:line="231" w:lineRule="atLeast"/>
        <w:rPr>
          <w:color w:val="000000"/>
          <w:sz w:val="20"/>
          <w:szCs w:val="20"/>
        </w:rPr>
      </w:pPr>
      <w:r>
        <w:rPr>
          <w:color w:val="000000"/>
          <w:sz w:val="20"/>
          <w:szCs w:val="20"/>
        </w:rPr>
        <w:t xml:space="preserve">Bidders shall provide pricing based on a discount from their standard pricing schedules for all services and/or products offered. Multiple percentage discounts and other proposed incentives will be considered but must be clearly presented and measurable. </w:t>
      </w:r>
    </w:p>
    <w:p w14:paraId="516204DB" w14:textId="77777777" w:rsidR="001F720A" w:rsidRPr="001F720A" w:rsidRDefault="001F720A" w:rsidP="001F720A">
      <w:pPr>
        <w:pStyle w:val="Default"/>
      </w:pPr>
    </w:p>
    <w:p w14:paraId="2C634BC3" w14:textId="77777777" w:rsidR="00803B4B" w:rsidRDefault="00803B4B" w:rsidP="00787312">
      <w:pPr>
        <w:pStyle w:val="CM18"/>
        <w:spacing w:after="225" w:line="231" w:lineRule="atLeast"/>
        <w:rPr>
          <w:color w:val="000000"/>
          <w:sz w:val="20"/>
          <w:szCs w:val="20"/>
        </w:rPr>
      </w:pPr>
      <w:r>
        <w:rPr>
          <w:b/>
          <w:bCs/>
          <w:color w:val="000000"/>
          <w:sz w:val="20"/>
          <w:szCs w:val="20"/>
        </w:rPr>
        <w:t xml:space="preserve">2.0 PROPOSAL </w:t>
      </w:r>
    </w:p>
    <w:p w14:paraId="785E3641" w14:textId="60526F78" w:rsidR="00803B4B" w:rsidRDefault="00803B4B">
      <w:pPr>
        <w:pStyle w:val="CM18"/>
        <w:spacing w:after="225" w:line="231" w:lineRule="atLeast"/>
        <w:rPr>
          <w:color w:val="000000"/>
          <w:sz w:val="20"/>
          <w:szCs w:val="20"/>
        </w:rPr>
      </w:pPr>
      <w:r>
        <w:rPr>
          <w:color w:val="000000"/>
          <w:sz w:val="20"/>
          <w:szCs w:val="20"/>
        </w:rPr>
        <w:t>Proposal</w:t>
      </w:r>
      <w:r w:rsidR="001462CE">
        <w:rPr>
          <w:color w:val="000000"/>
          <w:sz w:val="20"/>
          <w:szCs w:val="20"/>
        </w:rPr>
        <w:t>s</w:t>
      </w:r>
      <w:r>
        <w:rPr>
          <w:color w:val="000000"/>
          <w:sz w:val="20"/>
          <w:szCs w:val="20"/>
        </w:rPr>
        <w:t xml:space="preserve"> will </w:t>
      </w:r>
      <w:r w:rsidR="006F4CEF">
        <w:rPr>
          <w:color w:val="000000"/>
          <w:sz w:val="20"/>
          <w:szCs w:val="20"/>
        </w:rPr>
        <w:t xml:space="preserve">be limited to 25 total pages and will </w:t>
      </w:r>
      <w:r>
        <w:rPr>
          <w:color w:val="000000"/>
          <w:sz w:val="20"/>
          <w:szCs w:val="20"/>
        </w:rPr>
        <w:t xml:space="preserve">not be considered unless </w:t>
      </w:r>
      <w:r w:rsidR="00713572">
        <w:rPr>
          <w:color w:val="000000"/>
          <w:sz w:val="20"/>
          <w:szCs w:val="20"/>
        </w:rPr>
        <w:t>they</w:t>
      </w:r>
      <w:r>
        <w:rPr>
          <w:color w:val="000000"/>
          <w:sz w:val="20"/>
          <w:szCs w:val="20"/>
        </w:rPr>
        <w:t xml:space="preserve"> consist of </w:t>
      </w:r>
      <w:proofErr w:type="gramStart"/>
      <w:r>
        <w:rPr>
          <w:b/>
          <w:bCs/>
          <w:color w:val="000000"/>
          <w:sz w:val="20"/>
          <w:szCs w:val="20"/>
          <w:u w:val="single"/>
        </w:rPr>
        <w:t xml:space="preserve">ALL </w:t>
      </w:r>
      <w:r>
        <w:rPr>
          <w:color w:val="000000"/>
          <w:sz w:val="20"/>
          <w:szCs w:val="20"/>
        </w:rPr>
        <w:t>of</w:t>
      </w:r>
      <w:proofErr w:type="gramEnd"/>
      <w:r>
        <w:rPr>
          <w:color w:val="000000"/>
          <w:sz w:val="20"/>
          <w:szCs w:val="20"/>
        </w:rPr>
        <w:t xml:space="preserve"> the documents completed in their entirety listed herein. </w:t>
      </w:r>
    </w:p>
    <w:p w14:paraId="51544137" w14:textId="77777777" w:rsidR="00803B4B" w:rsidRDefault="00803B4B">
      <w:pPr>
        <w:pStyle w:val="CM18"/>
        <w:spacing w:after="225" w:line="231" w:lineRule="atLeast"/>
        <w:rPr>
          <w:color w:val="000000"/>
          <w:sz w:val="20"/>
          <w:szCs w:val="20"/>
        </w:rPr>
      </w:pPr>
      <w:r>
        <w:rPr>
          <w:b/>
          <w:bCs/>
          <w:color w:val="000000"/>
          <w:sz w:val="20"/>
          <w:szCs w:val="20"/>
        </w:rPr>
        <w:t xml:space="preserve">3.0 RFP COMMUNICATION </w:t>
      </w:r>
    </w:p>
    <w:p w14:paraId="2856C083" w14:textId="77777777" w:rsidR="00803B4B" w:rsidRDefault="00803B4B">
      <w:pPr>
        <w:pStyle w:val="CM18"/>
        <w:spacing w:after="225" w:line="231" w:lineRule="atLeast"/>
        <w:rPr>
          <w:color w:val="000000"/>
          <w:sz w:val="20"/>
          <w:szCs w:val="20"/>
        </w:rPr>
      </w:pPr>
      <w:r>
        <w:rPr>
          <w:color w:val="000000"/>
          <w:sz w:val="20"/>
          <w:szCs w:val="20"/>
        </w:rPr>
        <w:t xml:space="preserve">Bidders must refrain from contacting any PBF employees directly regarding this RFP once it has been published unless instructed to do so by the RFP initiator. </w:t>
      </w:r>
    </w:p>
    <w:p w14:paraId="232419CA" w14:textId="77777777" w:rsidR="00803B4B" w:rsidRDefault="00803B4B">
      <w:pPr>
        <w:pStyle w:val="CM18"/>
        <w:spacing w:after="225" w:line="231" w:lineRule="atLeast"/>
        <w:rPr>
          <w:color w:val="000000"/>
          <w:sz w:val="20"/>
          <w:szCs w:val="20"/>
        </w:rPr>
      </w:pPr>
      <w:r>
        <w:rPr>
          <w:color w:val="000000"/>
          <w:sz w:val="20"/>
          <w:szCs w:val="20"/>
        </w:rPr>
        <w:t xml:space="preserve">ALL communications regarding this specific Event must be submitted via email to the following contact: </w:t>
      </w:r>
    </w:p>
    <w:p w14:paraId="052ADB79" w14:textId="19861B30" w:rsidR="00CF40D9" w:rsidRPr="00CF40D9" w:rsidRDefault="00CF40D9" w:rsidP="00D35C87">
      <w:pPr>
        <w:pStyle w:val="Default"/>
        <w:rPr>
          <w:sz w:val="20"/>
          <w:szCs w:val="20"/>
        </w:rPr>
      </w:pPr>
      <w:r w:rsidRPr="00D35C87">
        <w:rPr>
          <w:sz w:val="20"/>
          <w:szCs w:val="20"/>
        </w:rPr>
        <w:t>donald.yorkman@pbfenergy.com</w:t>
      </w:r>
    </w:p>
    <w:p w14:paraId="6CF712FA" w14:textId="6F211301" w:rsidR="00CF40D9" w:rsidRPr="00D35C87" w:rsidRDefault="00CF40D9" w:rsidP="00D35C87">
      <w:pPr>
        <w:pStyle w:val="Default"/>
      </w:pPr>
    </w:p>
    <w:p w14:paraId="40B9B355" w14:textId="77777777" w:rsidR="00803B4B" w:rsidRDefault="00803B4B">
      <w:pPr>
        <w:pStyle w:val="CM18"/>
        <w:spacing w:after="225" w:line="231" w:lineRule="atLeast"/>
        <w:rPr>
          <w:color w:val="000000"/>
          <w:sz w:val="20"/>
          <w:szCs w:val="20"/>
        </w:rPr>
      </w:pPr>
      <w:r>
        <w:rPr>
          <w:b/>
          <w:bCs/>
          <w:color w:val="000000"/>
          <w:sz w:val="20"/>
          <w:szCs w:val="20"/>
        </w:rPr>
        <w:t xml:space="preserve">4.0 ADDENDA DURING BIDDING </w:t>
      </w:r>
    </w:p>
    <w:p w14:paraId="2F21A9B5" w14:textId="77777777" w:rsidR="00803B4B" w:rsidRDefault="00803B4B" w:rsidP="006344CA">
      <w:pPr>
        <w:pStyle w:val="CM18"/>
        <w:spacing w:after="225" w:line="231" w:lineRule="atLeast"/>
        <w:rPr>
          <w:color w:val="000000"/>
          <w:sz w:val="20"/>
          <w:szCs w:val="20"/>
        </w:rPr>
      </w:pPr>
      <w:r>
        <w:rPr>
          <w:color w:val="000000"/>
          <w:sz w:val="20"/>
          <w:szCs w:val="20"/>
        </w:rPr>
        <w:t xml:space="preserve">Any additional information required by the Bidders, revisions in the work, changes or additions, discrepancies in the bidding documents, or clarifications will be in the form of addenda written and issued to all Bidders. Any addenda issued to Bidders shall be acknowledged in proposal when submitting bid. </w:t>
      </w:r>
    </w:p>
    <w:p w14:paraId="56172937" w14:textId="4CCEAA60" w:rsidR="001F720A" w:rsidRPr="00E73C20" w:rsidRDefault="00803B4B" w:rsidP="00F33E3C">
      <w:pPr>
        <w:pStyle w:val="Default"/>
        <w:rPr>
          <w:b/>
          <w:bCs/>
          <w:sz w:val="20"/>
          <w:szCs w:val="20"/>
        </w:rPr>
      </w:pPr>
      <w:r w:rsidRPr="00E73C20">
        <w:rPr>
          <w:b/>
          <w:bCs/>
          <w:sz w:val="20"/>
          <w:szCs w:val="20"/>
        </w:rPr>
        <w:t>5.</w:t>
      </w:r>
      <w:r w:rsidR="001F720A" w:rsidRPr="00E73C20">
        <w:rPr>
          <w:b/>
          <w:bCs/>
          <w:sz w:val="20"/>
          <w:szCs w:val="20"/>
        </w:rPr>
        <w:t>0</w:t>
      </w:r>
      <w:r w:rsidR="001F720A" w:rsidRPr="00E73C20">
        <w:rPr>
          <w:color w:val="FF0000"/>
          <w:sz w:val="20"/>
          <w:szCs w:val="20"/>
        </w:rPr>
        <w:t xml:space="preserve"> </w:t>
      </w:r>
      <w:r w:rsidRPr="00E73C20">
        <w:rPr>
          <w:b/>
          <w:bCs/>
          <w:sz w:val="20"/>
          <w:szCs w:val="20"/>
        </w:rPr>
        <w:t>REQUEST FOR PROPOSAL TERMS &amp; CONDITIONS AND RESPONSES</w:t>
      </w:r>
    </w:p>
    <w:p w14:paraId="6A4FB243" w14:textId="77777777" w:rsidR="00F33E3C" w:rsidRDefault="00F33E3C" w:rsidP="00F33E3C">
      <w:pPr>
        <w:pStyle w:val="Default"/>
        <w:rPr>
          <w:sz w:val="20"/>
          <w:szCs w:val="20"/>
        </w:rPr>
      </w:pPr>
    </w:p>
    <w:p w14:paraId="52CC0A97" w14:textId="685D83DE" w:rsidR="00DB7BBB" w:rsidRPr="00E73C20" w:rsidRDefault="00F33E3C" w:rsidP="006344CA">
      <w:pPr>
        <w:pStyle w:val="Default"/>
        <w:spacing w:after="1163"/>
        <w:rPr>
          <w:sz w:val="20"/>
          <w:szCs w:val="20"/>
        </w:rPr>
      </w:pPr>
      <w:r>
        <w:rPr>
          <w:sz w:val="20"/>
          <w:szCs w:val="20"/>
        </w:rPr>
        <w:t>Each recipient s</w:t>
      </w:r>
      <w:r w:rsidRPr="00E73C20">
        <w:rPr>
          <w:sz w:val="20"/>
          <w:szCs w:val="20"/>
        </w:rPr>
        <w:t>hould submit a detailed response to Exhibit A Questions and assume that the Work is Remote</w:t>
      </w:r>
      <w:r w:rsidR="00824A74">
        <w:rPr>
          <w:sz w:val="20"/>
          <w:szCs w:val="20"/>
        </w:rPr>
        <w:t xml:space="preserve">. This </w:t>
      </w:r>
      <w:r w:rsidR="00DB7BBB" w:rsidRPr="00E73C20">
        <w:rPr>
          <w:sz w:val="20"/>
          <w:szCs w:val="20"/>
        </w:rPr>
        <w:t xml:space="preserve">study is related to PBF Mach2 Holdings LLC’s participation in the US Department of Energy’s effort to establish Regional Clean Hydrogen Hubs. PBF Mach2 Holdings, LLC is a Subrecipient of funding from the Department of Energy for the study, and as such, there are certain requirements that must be passed down to any company that works for us </w:t>
      </w:r>
      <w:r w:rsidR="001D59B8">
        <w:rPr>
          <w:sz w:val="20"/>
          <w:szCs w:val="20"/>
        </w:rPr>
        <w:t>o</w:t>
      </w:r>
      <w:r w:rsidR="001D59B8" w:rsidRPr="00E73C20">
        <w:rPr>
          <w:sz w:val="20"/>
          <w:szCs w:val="20"/>
        </w:rPr>
        <w:t>n</w:t>
      </w:r>
      <w:r w:rsidR="00DB7BBB" w:rsidRPr="00E73C20">
        <w:rPr>
          <w:sz w:val="20"/>
          <w:szCs w:val="20"/>
        </w:rPr>
        <w:t xml:space="preserve"> this study. This is a standard requirement of the federal government that we want to make all potential participants aware of in advance. Any company that submits a proposal for this project is acknowledging their acceptance of the requirements by doing so. Those requirements are as follows:</w:t>
      </w:r>
    </w:p>
    <w:p w14:paraId="5598679E" w14:textId="77777777" w:rsidR="00DB7BBB" w:rsidRPr="00E73C20" w:rsidRDefault="00DB7BBB">
      <w:pPr>
        <w:pStyle w:val="Default"/>
        <w:spacing w:after="1163"/>
        <w:rPr>
          <w:sz w:val="20"/>
          <w:szCs w:val="20"/>
        </w:rPr>
      </w:pPr>
    </w:p>
    <w:p w14:paraId="325FA8FC" w14:textId="77CAD19C" w:rsidR="00AC6175" w:rsidRPr="00E73C20" w:rsidRDefault="00AC6175" w:rsidP="00DB7BBB">
      <w:pPr>
        <w:numPr>
          <w:ilvl w:val="0"/>
          <w:numId w:val="6"/>
        </w:numPr>
        <w:spacing w:after="0" w:line="240" w:lineRule="auto"/>
        <w:rPr>
          <w:rFonts w:ascii="Arial" w:hAnsi="Arial" w:cs="Arial"/>
          <w:sz w:val="20"/>
          <w:szCs w:val="20"/>
        </w:rPr>
      </w:pPr>
      <w:r w:rsidRPr="00E73C20">
        <w:rPr>
          <w:rFonts w:ascii="Arial" w:hAnsi="Arial" w:cs="Arial"/>
          <w:sz w:val="20"/>
          <w:szCs w:val="20"/>
        </w:rPr>
        <w:lastRenderedPageBreak/>
        <w:t xml:space="preserve">Consultant agrees to comply with </w:t>
      </w:r>
      <w:r w:rsidRPr="00E73C20">
        <w:rPr>
          <w:rFonts w:ascii="Arial" w:hAnsi="Arial" w:cs="Arial"/>
          <w:spacing w:val="-4"/>
          <w:kern w:val="0"/>
          <w:sz w:val="20"/>
          <w:szCs w:val="20"/>
        </w:rPr>
        <w:t xml:space="preserve">Title 2 of the Code of Federal Regulations, also known as 2 CFR 200 and 2 CFR 910 </w:t>
      </w:r>
      <w:r w:rsidR="00951393" w:rsidRPr="00E73C20">
        <w:rPr>
          <w:rFonts w:ascii="Arial" w:hAnsi="Arial" w:cs="Arial"/>
          <w:spacing w:val="-4"/>
          <w:kern w:val="0"/>
          <w:sz w:val="20"/>
          <w:szCs w:val="20"/>
        </w:rPr>
        <w:t xml:space="preserve">as applicable </w:t>
      </w:r>
      <w:r w:rsidRPr="00E73C20">
        <w:rPr>
          <w:rFonts w:ascii="Arial" w:hAnsi="Arial" w:cs="Arial"/>
          <w:spacing w:val="-4"/>
          <w:kern w:val="0"/>
          <w:sz w:val="20"/>
          <w:szCs w:val="20"/>
        </w:rPr>
        <w:t xml:space="preserve">as it relates to this project. </w:t>
      </w:r>
    </w:p>
    <w:p w14:paraId="7D61E0F5" w14:textId="77777777" w:rsidR="00AC6175" w:rsidRPr="00E73C20" w:rsidRDefault="00AC6175" w:rsidP="00AC6175">
      <w:pPr>
        <w:spacing w:after="0" w:line="240" w:lineRule="auto"/>
        <w:ind w:left="720"/>
        <w:rPr>
          <w:rFonts w:ascii="Arial" w:hAnsi="Arial" w:cs="Arial"/>
          <w:sz w:val="20"/>
          <w:szCs w:val="20"/>
        </w:rPr>
      </w:pPr>
    </w:p>
    <w:p w14:paraId="5CBAFB7D" w14:textId="178A5EB3" w:rsidR="00DB7BBB" w:rsidRPr="00E73C20" w:rsidRDefault="00DB7BBB" w:rsidP="00DB7BBB">
      <w:pPr>
        <w:numPr>
          <w:ilvl w:val="0"/>
          <w:numId w:val="6"/>
        </w:numPr>
        <w:spacing w:after="0" w:line="240" w:lineRule="auto"/>
        <w:rPr>
          <w:rFonts w:ascii="Arial" w:hAnsi="Arial" w:cs="Arial"/>
          <w:sz w:val="20"/>
          <w:szCs w:val="20"/>
        </w:rPr>
      </w:pPr>
      <w:r w:rsidRPr="00E73C20">
        <w:rPr>
          <w:rFonts w:ascii="Arial" w:hAnsi="Arial" w:cs="Arial"/>
          <w:sz w:val="20"/>
          <w:szCs w:val="20"/>
        </w:rPr>
        <w:t>Consultant agrees that your company, any subcontractors, or principals are not suspended or debarred by the General Services Administration (GSA).</w:t>
      </w:r>
    </w:p>
    <w:p w14:paraId="0C4EC2FB" w14:textId="77777777" w:rsidR="00DB7BBB" w:rsidRPr="00E73C20" w:rsidRDefault="00DB7BBB" w:rsidP="00DB7BBB">
      <w:pPr>
        <w:ind w:left="720"/>
        <w:jc w:val="both"/>
        <w:rPr>
          <w:rFonts w:ascii="Arial" w:hAnsi="Arial" w:cs="Arial"/>
          <w:sz w:val="20"/>
          <w:szCs w:val="20"/>
        </w:rPr>
      </w:pPr>
    </w:p>
    <w:p w14:paraId="449ABF1F" w14:textId="77777777" w:rsidR="00DB7BBB" w:rsidRPr="00E73C20" w:rsidRDefault="00DB7BBB" w:rsidP="00DB7BBB">
      <w:pPr>
        <w:numPr>
          <w:ilvl w:val="0"/>
          <w:numId w:val="6"/>
        </w:numPr>
        <w:spacing w:after="0" w:line="240" w:lineRule="auto"/>
        <w:jc w:val="both"/>
        <w:rPr>
          <w:rFonts w:ascii="Arial" w:hAnsi="Arial" w:cs="Arial"/>
          <w:sz w:val="20"/>
          <w:szCs w:val="20"/>
        </w:rPr>
      </w:pPr>
      <w:r w:rsidRPr="00E73C20">
        <w:rPr>
          <w:rFonts w:ascii="Arial" w:hAnsi="Arial" w:cs="Arial"/>
          <w:sz w:val="20"/>
          <w:szCs w:val="20"/>
        </w:rPr>
        <w:t>Consultant agrees that all employees that work on this study must be US citizens, residing in the United States and all work must be done in the United States.</w:t>
      </w:r>
    </w:p>
    <w:p w14:paraId="7FA2DAFB" w14:textId="77777777" w:rsidR="00DB7BBB" w:rsidRPr="00E73C20" w:rsidRDefault="00DB7BBB" w:rsidP="00DB7BBB">
      <w:pPr>
        <w:ind w:left="720"/>
        <w:jc w:val="both"/>
        <w:rPr>
          <w:rFonts w:ascii="Arial" w:hAnsi="Arial" w:cs="Arial"/>
          <w:sz w:val="20"/>
          <w:szCs w:val="20"/>
        </w:rPr>
      </w:pPr>
    </w:p>
    <w:p w14:paraId="25B7BD68" w14:textId="06966E92" w:rsidR="00DB7BBB" w:rsidRPr="00E73C20" w:rsidRDefault="00DB7BBB" w:rsidP="00DB7BBB">
      <w:pPr>
        <w:numPr>
          <w:ilvl w:val="0"/>
          <w:numId w:val="6"/>
        </w:numPr>
        <w:spacing w:after="0" w:line="240" w:lineRule="auto"/>
        <w:jc w:val="both"/>
        <w:rPr>
          <w:rFonts w:ascii="Arial" w:hAnsi="Arial" w:cs="Arial"/>
          <w:sz w:val="20"/>
          <w:szCs w:val="20"/>
        </w:rPr>
      </w:pPr>
      <w:r w:rsidRPr="00E73C20">
        <w:rPr>
          <w:rFonts w:ascii="Arial" w:hAnsi="Arial" w:cs="Arial"/>
          <w:sz w:val="20"/>
          <w:szCs w:val="20"/>
        </w:rPr>
        <w:t xml:space="preserve">Consultant agrees that </w:t>
      </w:r>
      <w:r w:rsidR="00542D9E" w:rsidRPr="00E73C20">
        <w:rPr>
          <w:rFonts w:ascii="Arial" w:hAnsi="Arial" w:cs="Arial"/>
          <w:sz w:val="20"/>
          <w:szCs w:val="20"/>
        </w:rPr>
        <w:t>if they plan to subcontract any work on this project</w:t>
      </w:r>
      <w:r w:rsidR="00F86310" w:rsidRPr="00E73C20">
        <w:rPr>
          <w:rFonts w:ascii="Arial" w:hAnsi="Arial" w:cs="Arial"/>
          <w:sz w:val="20"/>
          <w:szCs w:val="20"/>
        </w:rPr>
        <w:t xml:space="preserve"> all necessary provisions must be passed on to the subcontracting entity in a contract that is made available to PBF immediately upon request</w:t>
      </w:r>
      <w:r w:rsidRPr="00E73C20">
        <w:rPr>
          <w:rFonts w:ascii="Arial" w:hAnsi="Arial" w:cs="Arial"/>
          <w:sz w:val="20"/>
          <w:szCs w:val="20"/>
        </w:rPr>
        <w:t>.</w:t>
      </w:r>
    </w:p>
    <w:p w14:paraId="14E9F9C1" w14:textId="77777777" w:rsidR="00DB7BBB" w:rsidRPr="00E73C20" w:rsidRDefault="00DB7BBB" w:rsidP="00DB7BBB">
      <w:pPr>
        <w:jc w:val="both"/>
        <w:rPr>
          <w:rFonts w:ascii="Arial" w:hAnsi="Arial" w:cs="Arial"/>
          <w:sz w:val="20"/>
          <w:szCs w:val="20"/>
        </w:rPr>
      </w:pPr>
    </w:p>
    <w:p w14:paraId="6F1F12B7" w14:textId="109CCA99" w:rsidR="00DB7BBB" w:rsidRPr="00E73C20" w:rsidRDefault="00AC6175" w:rsidP="00DB7BBB">
      <w:pPr>
        <w:numPr>
          <w:ilvl w:val="0"/>
          <w:numId w:val="6"/>
        </w:numPr>
        <w:spacing w:after="0" w:line="240" w:lineRule="auto"/>
        <w:jc w:val="both"/>
        <w:rPr>
          <w:rFonts w:ascii="Arial" w:hAnsi="Arial" w:cs="Arial"/>
          <w:sz w:val="20"/>
          <w:szCs w:val="20"/>
        </w:rPr>
      </w:pPr>
      <w:r w:rsidRPr="00E73C20">
        <w:rPr>
          <w:rFonts w:ascii="Arial" w:hAnsi="Arial" w:cs="Arial"/>
          <w:sz w:val="20"/>
          <w:szCs w:val="20"/>
        </w:rPr>
        <w:t>Consultant will notify PBF i</w:t>
      </w:r>
      <w:r w:rsidR="00F55FE7" w:rsidRPr="00E73C20">
        <w:rPr>
          <w:rFonts w:ascii="Arial" w:hAnsi="Arial" w:cs="Arial"/>
          <w:sz w:val="20"/>
          <w:szCs w:val="20"/>
        </w:rPr>
        <w:t>f</w:t>
      </w:r>
      <w:r w:rsidRPr="00E73C20">
        <w:rPr>
          <w:rFonts w:ascii="Arial" w:hAnsi="Arial" w:cs="Arial"/>
          <w:sz w:val="20"/>
          <w:szCs w:val="20"/>
        </w:rPr>
        <w:t xml:space="preserve"> they are </w:t>
      </w:r>
      <w:r w:rsidR="00DB7BBB" w:rsidRPr="00E73C20">
        <w:rPr>
          <w:rFonts w:ascii="Arial" w:hAnsi="Arial" w:cs="Arial"/>
          <w:sz w:val="20"/>
          <w:szCs w:val="20"/>
        </w:rPr>
        <w:t xml:space="preserve">a certified minority owned, woman owned, veteran owned, or Disadvantaged Business Enterprise. A copy of your certification must be provided with your proposal submission. </w:t>
      </w:r>
    </w:p>
    <w:p w14:paraId="161DD9C3" w14:textId="77777777" w:rsidR="00DB7BBB" w:rsidRPr="00E73C20" w:rsidRDefault="00DB7BBB" w:rsidP="00DB7BBB">
      <w:pPr>
        <w:pStyle w:val="ListParagraph"/>
        <w:rPr>
          <w:rFonts w:ascii="Arial" w:hAnsi="Arial" w:cs="Arial"/>
          <w:sz w:val="20"/>
          <w:szCs w:val="20"/>
        </w:rPr>
      </w:pPr>
    </w:p>
    <w:p w14:paraId="11F8B857" w14:textId="77777777" w:rsidR="00AC6175" w:rsidRPr="00E73C20" w:rsidRDefault="00AC6175" w:rsidP="00AC6175">
      <w:pPr>
        <w:numPr>
          <w:ilvl w:val="0"/>
          <w:numId w:val="6"/>
        </w:numPr>
        <w:spacing w:after="0" w:line="240" w:lineRule="auto"/>
        <w:jc w:val="both"/>
        <w:rPr>
          <w:rFonts w:ascii="Arial" w:hAnsi="Arial" w:cs="Arial"/>
          <w:sz w:val="20"/>
          <w:szCs w:val="20"/>
        </w:rPr>
      </w:pPr>
      <w:r w:rsidRPr="00E73C20">
        <w:rPr>
          <w:rFonts w:ascii="Arial" w:hAnsi="Arial" w:cs="Arial"/>
          <w:sz w:val="20"/>
          <w:szCs w:val="20"/>
        </w:rPr>
        <w:t xml:space="preserve">Consultants must agree that they will not use any funds paid to them as part of this study by </w:t>
      </w:r>
      <w:r w:rsidRPr="00E73C20">
        <w:rPr>
          <w:rFonts w:ascii="Arial" w:hAnsi="Arial" w:cs="Arial"/>
          <w:spacing w:val="-2"/>
          <w:sz w:val="20"/>
          <w:szCs w:val="20"/>
        </w:rPr>
        <w:t xml:space="preserve">PBF MACH2 Holdings LLC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CFR 200 (Appendix II Section (I)) </w:t>
      </w:r>
    </w:p>
    <w:p w14:paraId="69435348" w14:textId="77777777" w:rsidR="00AC6175" w:rsidRPr="00E73C20" w:rsidRDefault="00AC6175" w:rsidP="00AC6175">
      <w:pPr>
        <w:spacing w:after="0" w:line="240" w:lineRule="auto"/>
        <w:jc w:val="both"/>
        <w:rPr>
          <w:rFonts w:ascii="Arial" w:hAnsi="Arial" w:cs="Arial"/>
          <w:sz w:val="20"/>
          <w:szCs w:val="20"/>
        </w:rPr>
      </w:pPr>
    </w:p>
    <w:p w14:paraId="4CA8D4FF" w14:textId="22F55EA1" w:rsidR="00AC6175" w:rsidRPr="00E73C20" w:rsidRDefault="00AC6175" w:rsidP="00DB7BBB">
      <w:pPr>
        <w:numPr>
          <w:ilvl w:val="0"/>
          <w:numId w:val="6"/>
        </w:numPr>
        <w:spacing w:after="0" w:line="240" w:lineRule="auto"/>
        <w:jc w:val="both"/>
        <w:rPr>
          <w:rFonts w:ascii="Arial" w:hAnsi="Arial" w:cs="Arial"/>
          <w:sz w:val="20"/>
          <w:szCs w:val="20"/>
        </w:rPr>
      </w:pPr>
      <w:r w:rsidRPr="00E73C20">
        <w:rPr>
          <w:rFonts w:ascii="Arial" w:hAnsi="Arial" w:cs="Arial"/>
          <w:sz w:val="20"/>
          <w:szCs w:val="20"/>
        </w:rPr>
        <w:t xml:space="preserve">Consultant agrees to comply with all requests for information and documentation necessary for PBF to comply with requests from the Mach2 consortium or and United States government agency. </w:t>
      </w:r>
    </w:p>
    <w:p w14:paraId="33F6CA77" w14:textId="77777777" w:rsidR="00AC6175" w:rsidRPr="00E73C20" w:rsidRDefault="00AC6175" w:rsidP="00AC6175">
      <w:pPr>
        <w:spacing w:after="0" w:line="240" w:lineRule="auto"/>
        <w:ind w:left="720"/>
        <w:jc w:val="both"/>
        <w:rPr>
          <w:rFonts w:ascii="Arial" w:hAnsi="Arial" w:cs="Arial"/>
          <w:sz w:val="20"/>
          <w:szCs w:val="20"/>
        </w:rPr>
      </w:pPr>
    </w:p>
    <w:p w14:paraId="1237DB3E" w14:textId="0DC4A98A" w:rsidR="00DB7BBB" w:rsidRPr="00E73C20" w:rsidRDefault="00DB7BBB" w:rsidP="00DB7BBB">
      <w:pPr>
        <w:numPr>
          <w:ilvl w:val="0"/>
          <w:numId w:val="6"/>
        </w:numPr>
        <w:spacing w:after="0" w:line="240" w:lineRule="auto"/>
        <w:jc w:val="both"/>
        <w:rPr>
          <w:rFonts w:ascii="Arial" w:hAnsi="Arial" w:cs="Arial"/>
          <w:sz w:val="20"/>
          <w:szCs w:val="20"/>
        </w:rPr>
      </w:pPr>
      <w:r w:rsidRPr="00E73C20">
        <w:rPr>
          <w:rFonts w:ascii="Arial" w:hAnsi="Arial" w:cs="Arial"/>
          <w:sz w:val="20"/>
          <w:szCs w:val="20"/>
        </w:rPr>
        <w:t>Proposals must be submitted as Lump Sum amounts.</w:t>
      </w:r>
    </w:p>
    <w:p w14:paraId="03E2A55B" w14:textId="77777777" w:rsidR="00DB7BBB" w:rsidRPr="00E73C20" w:rsidRDefault="00DB7BBB" w:rsidP="00DB7BBB">
      <w:pPr>
        <w:pStyle w:val="ListParagraph"/>
        <w:rPr>
          <w:rFonts w:ascii="Arial" w:hAnsi="Arial" w:cs="Arial"/>
          <w:sz w:val="20"/>
          <w:szCs w:val="20"/>
        </w:rPr>
      </w:pPr>
    </w:p>
    <w:p w14:paraId="5732B057" w14:textId="22041725" w:rsidR="00DB7BBB" w:rsidRPr="00E73C20" w:rsidRDefault="00DB7BBB" w:rsidP="00DB7BBB">
      <w:pPr>
        <w:jc w:val="both"/>
        <w:rPr>
          <w:rFonts w:ascii="Arial" w:hAnsi="Arial" w:cs="Arial"/>
          <w:sz w:val="20"/>
          <w:szCs w:val="20"/>
        </w:rPr>
      </w:pPr>
    </w:p>
    <w:p w14:paraId="7A555502" w14:textId="77777777" w:rsidR="00DB7BBB" w:rsidRPr="00E73C20" w:rsidRDefault="00DB7BBB">
      <w:pPr>
        <w:pStyle w:val="Default"/>
        <w:spacing w:after="1163"/>
        <w:rPr>
          <w:b/>
          <w:bCs/>
          <w:sz w:val="20"/>
          <w:szCs w:val="20"/>
        </w:rPr>
      </w:pPr>
    </w:p>
    <w:p w14:paraId="61C98FF8" w14:textId="77777777" w:rsidR="001F720A" w:rsidRPr="00E73C20" w:rsidRDefault="001F720A">
      <w:pPr>
        <w:pStyle w:val="Default"/>
        <w:spacing w:after="1163"/>
        <w:rPr>
          <w:b/>
          <w:bCs/>
          <w:sz w:val="20"/>
          <w:szCs w:val="20"/>
        </w:rPr>
      </w:pPr>
    </w:p>
    <w:p w14:paraId="4EA251AD" w14:textId="77777777" w:rsidR="001F720A" w:rsidRPr="00E73C20" w:rsidRDefault="001F720A">
      <w:pPr>
        <w:pStyle w:val="Default"/>
        <w:spacing w:after="1163"/>
        <w:rPr>
          <w:sz w:val="20"/>
          <w:szCs w:val="20"/>
        </w:rPr>
      </w:pPr>
    </w:p>
    <w:p w14:paraId="58F468D9" w14:textId="77777777" w:rsidR="00803B4B" w:rsidRPr="00E73C20" w:rsidRDefault="00803B4B">
      <w:pPr>
        <w:pStyle w:val="Default"/>
        <w:rPr>
          <w:sz w:val="20"/>
          <w:szCs w:val="20"/>
        </w:rPr>
      </w:pPr>
      <w:r w:rsidRPr="00E73C20">
        <w:rPr>
          <w:b/>
          <w:bCs/>
          <w:sz w:val="20"/>
          <w:szCs w:val="20"/>
        </w:rPr>
        <w:t xml:space="preserve">6.0 PERFORMANCE SCHEDULE </w:t>
      </w:r>
    </w:p>
    <w:p w14:paraId="336730A3" w14:textId="77777777" w:rsidR="00803B4B" w:rsidRPr="00E73C20" w:rsidRDefault="00803B4B">
      <w:pPr>
        <w:pStyle w:val="Default"/>
        <w:rPr>
          <w:sz w:val="20"/>
          <w:szCs w:val="20"/>
        </w:rPr>
      </w:pPr>
    </w:p>
    <w:p w14:paraId="5A47E961" w14:textId="4A0FF8D7" w:rsidR="00803B4B" w:rsidRPr="00423BA0" w:rsidRDefault="00803B4B" w:rsidP="00423BA0">
      <w:pPr>
        <w:pStyle w:val="CM19"/>
        <w:spacing w:line="231" w:lineRule="atLeast"/>
        <w:rPr>
          <w:color w:val="000000"/>
          <w:sz w:val="20"/>
          <w:szCs w:val="20"/>
        </w:rPr>
      </w:pPr>
      <w:r w:rsidRPr="00E73C20">
        <w:rPr>
          <w:color w:val="000000"/>
          <w:sz w:val="20"/>
          <w:szCs w:val="20"/>
        </w:rPr>
        <w:t xml:space="preserve">Terms and conditions shall be provided and negotiated based on determination of final selected bidders. </w:t>
      </w:r>
      <w:r w:rsidRPr="00423BA0">
        <w:rPr>
          <w:color w:val="000000"/>
          <w:sz w:val="20"/>
          <w:szCs w:val="20"/>
        </w:rPr>
        <w:t>Bidder shall recognize and comply with the following</w:t>
      </w:r>
      <w:r w:rsidR="003D095E" w:rsidRPr="00423BA0">
        <w:rPr>
          <w:color w:val="000000"/>
          <w:sz w:val="20"/>
          <w:szCs w:val="20"/>
        </w:rPr>
        <w:t xml:space="preserve"> RFP schedule</w:t>
      </w:r>
      <w:r w:rsidRPr="00423BA0">
        <w:rPr>
          <w:color w:val="000000"/>
          <w:sz w:val="20"/>
          <w:szCs w:val="20"/>
        </w:rPr>
        <w:t xml:space="preserve">: </w:t>
      </w:r>
    </w:p>
    <w:p w14:paraId="1B90BF97" w14:textId="77777777" w:rsidR="003D095E" w:rsidRPr="00E73C20" w:rsidRDefault="003D095E" w:rsidP="003D095E">
      <w:pPr>
        <w:pStyle w:val="Default"/>
        <w:jc w:val="both"/>
        <w:rPr>
          <w:sz w:val="20"/>
          <w:szCs w:val="20"/>
        </w:rPr>
      </w:pPr>
    </w:p>
    <w:p w14:paraId="74823B7F" w14:textId="4FE383DF" w:rsidR="003D095E" w:rsidRPr="00E73C20" w:rsidRDefault="00803B4B" w:rsidP="003D095E">
      <w:pPr>
        <w:pStyle w:val="CM1"/>
        <w:rPr>
          <w:sz w:val="20"/>
          <w:szCs w:val="20"/>
        </w:rPr>
      </w:pPr>
      <w:r w:rsidRPr="00E73C20">
        <w:rPr>
          <w:sz w:val="20"/>
          <w:szCs w:val="20"/>
        </w:rPr>
        <w:t xml:space="preserve">RFP </w:t>
      </w:r>
      <w:r w:rsidR="00C457DD" w:rsidRPr="00E73C20">
        <w:rPr>
          <w:sz w:val="20"/>
          <w:szCs w:val="20"/>
        </w:rPr>
        <w:t xml:space="preserve">Post </w:t>
      </w:r>
      <w:r w:rsidRPr="00E73C20">
        <w:rPr>
          <w:sz w:val="20"/>
          <w:szCs w:val="20"/>
        </w:rPr>
        <w:t xml:space="preserve">Initiated </w:t>
      </w:r>
      <w:r w:rsidR="00DD1791">
        <w:rPr>
          <w:sz w:val="20"/>
          <w:szCs w:val="20"/>
        </w:rPr>
        <w:t>August</w:t>
      </w:r>
      <w:r w:rsidR="00C457DD" w:rsidRPr="00E73C20">
        <w:rPr>
          <w:sz w:val="20"/>
          <w:szCs w:val="20"/>
        </w:rPr>
        <w:t xml:space="preserve"> </w:t>
      </w:r>
      <w:r w:rsidR="00DD1791">
        <w:rPr>
          <w:sz w:val="20"/>
          <w:szCs w:val="20"/>
        </w:rPr>
        <w:t>1</w:t>
      </w:r>
      <w:r w:rsidRPr="00E73C20">
        <w:rPr>
          <w:sz w:val="20"/>
          <w:szCs w:val="20"/>
        </w:rPr>
        <w:t>, 202</w:t>
      </w:r>
      <w:r w:rsidR="003D095E" w:rsidRPr="00E73C20">
        <w:rPr>
          <w:sz w:val="20"/>
          <w:szCs w:val="20"/>
        </w:rPr>
        <w:t>5</w:t>
      </w:r>
    </w:p>
    <w:p w14:paraId="275720EC" w14:textId="77777777" w:rsidR="007863B2" w:rsidRPr="00CF40D9" w:rsidRDefault="007863B2" w:rsidP="007863B2">
      <w:pPr>
        <w:pStyle w:val="Default"/>
        <w:rPr>
          <w:sz w:val="20"/>
          <w:szCs w:val="20"/>
        </w:rPr>
      </w:pPr>
      <w:r w:rsidRPr="00E73C20">
        <w:rPr>
          <w:sz w:val="20"/>
          <w:szCs w:val="20"/>
        </w:rPr>
        <w:t xml:space="preserve">Intent to Bid returned </w:t>
      </w:r>
      <w:r>
        <w:rPr>
          <w:sz w:val="20"/>
          <w:szCs w:val="20"/>
        </w:rPr>
        <w:t>August</w:t>
      </w:r>
      <w:r w:rsidRPr="00E73C20">
        <w:rPr>
          <w:sz w:val="20"/>
          <w:szCs w:val="20"/>
        </w:rPr>
        <w:t xml:space="preserve"> </w:t>
      </w:r>
      <w:r>
        <w:rPr>
          <w:sz w:val="20"/>
          <w:szCs w:val="20"/>
        </w:rPr>
        <w:t>6</w:t>
      </w:r>
      <w:r w:rsidRPr="00E73C20">
        <w:rPr>
          <w:sz w:val="20"/>
          <w:szCs w:val="20"/>
        </w:rPr>
        <w:t xml:space="preserve">, </w:t>
      </w:r>
      <w:proofErr w:type="gramStart"/>
      <w:r w:rsidRPr="00E73C20">
        <w:rPr>
          <w:sz w:val="20"/>
          <w:szCs w:val="20"/>
        </w:rPr>
        <w:t>2025</w:t>
      </w:r>
      <w:proofErr w:type="gramEnd"/>
      <w:r w:rsidRPr="00E73C20">
        <w:rPr>
          <w:sz w:val="20"/>
          <w:szCs w:val="20"/>
        </w:rPr>
        <w:t xml:space="preserve"> at 2:00 PM EST</w:t>
      </w:r>
      <w:r>
        <w:rPr>
          <w:sz w:val="20"/>
          <w:szCs w:val="20"/>
        </w:rPr>
        <w:t xml:space="preserve"> (Bidders that intend to bid must notify PBF by emailing </w:t>
      </w:r>
      <w:r w:rsidRPr="00D35C87">
        <w:rPr>
          <w:sz w:val="20"/>
          <w:szCs w:val="20"/>
        </w:rPr>
        <w:t>donald.yorkman@pbfenergy.com</w:t>
      </w:r>
      <w:r>
        <w:rPr>
          <w:sz w:val="20"/>
          <w:szCs w:val="20"/>
        </w:rPr>
        <w:t>)</w:t>
      </w:r>
    </w:p>
    <w:p w14:paraId="6994958D" w14:textId="1172F2C8" w:rsidR="00D6701C" w:rsidRPr="00E73C20" w:rsidRDefault="003D095E" w:rsidP="00D6701C">
      <w:pPr>
        <w:pStyle w:val="CM1"/>
        <w:rPr>
          <w:sz w:val="20"/>
          <w:szCs w:val="20"/>
        </w:rPr>
      </w:pPr>
      <w:r w:rsidRPr="00E73C20">
        <w:rPr>
          <w:sz w:val="20"/>
          <w:szCs w:val="20"/>
        </w:rPr>
        <w:lastRenderedPageBreak/>
        <w:t xml:space="preserve">RFI </w:t>
      </w:r>
      <w:r w:rsidR="002F0581" w:rsidRPr="00E73C20">
        <w:rPr>
          <w:sz w:val="20"/>
          <w:szCs w:val="20"/>
        </w:rPr>
        <w:t xml:space="preserve">from suppliers due August </w:t>
      </w:r>
      <w:r w:rsidR="00DD1791">
        <w:rPr>
          <w:sz w:val="20"/>
          <w:szCs w:val="20"/>
        </w:rPr>
        <w:t>13</w:t>
      </w:r>
      <w:r w:rsidRPr="00E73C20">
        <w:rPr>
          <w:sz w:val="20"/>
          <w:szCs w:val="20"/>
        </w:rPr>
        <w:t xml:space="preserve">, </w:t>
      </w:r>
      <w:proofErr w:type="gramStart"/>
      <w:r w:rsidRPr="00E73C20">
        <w:rPr>
          <w:sz w:val="20"/>
          <w:szCs w:val="20"/>
        </w:rPr>
        <w:t>2025</w:t>
      </w:r>
      <w:proofErr w:type="gramEnd"/>
      <w:r w:rsidRPr="00E73C20">
        <w:rPr>
          <w:sz w:val="20"/>
          <w:szCs w:val="20"/>
        </w:rPr>
        <w:t xml:space="preserve"> at 2:00 PM ES</w:t>
      </w:r>
      <w:r w:rsidR="00D6701C" w:rsidRPr="00E73C20">
        <w:rPr>
          <w:sz w:val="20"/>
          <w:szCs w:val="20"/>
        </w:rPr>
        <w:t>T</w:t>
      </w:r>
    </w:p>
    <w:p w14:paraId="3584B945" w14:textId="2EF0CE61" w:rsidR="00D6701C" w:rsidRPr="00E73C20" w:rsidRDefault="00D6701C" w:rsidP="00D6701C">
      <w:pPr>
        <w:pStyle w:val="Default"/>
        <w:rPr>
          <w:sz w:val="20"/>
          <w:szCs w:val="20"/>
        </w:rPr>
      </w:pPr>
      <w:r w:rsidRPr="00E73C20">
        <w:rPr>
          <w:sz w:val="20"/>
          <w:szCs w:val="20"/>
        </w:rPr>
        <w:t>RFI response due from PBF August 1</w:t>
      </w:r>
      <w:r w:rsidR="003A0702">
        <w:rPr>
          <w:sz w:val="20"/>
          <w:szCs w:val="20"/>
        </w:rPr>
        <w:t>9</w:t>
      </w:r>
      <w:r w:rsidRPr="00E73C20">
        <w:rPr>
          <w:sz w:val="20"/>
          <w:szCs w:val="20"/>
        </w:rPr>
        <w:t xml:space="preserve"> </w:t>
      </w:r>
      <w:r w:rsidR="004A7F9E" w:rsidRPr="00E73C20">
        <w:rPr>
          <w:sz w:val="20"/>
          <w:szCs w:val="20"/>
        </w:rPr>
        <w:t>5PM EST</w:t>
      </w:r>
    </w:p>
    <w:p w14:paraId="76E8C210" w14:textId="419ADABB" w:rsidR="004A7F9E" w:rsidRPr="00E73C20" w:rsidRDefault="003D095E" w:rsidP="004A7F9E">
      <w:pPr>
        <w:pStyle w:val="CM1"/>
        <w:rPr>
          <w:sz w:val="20"/>
          <w:szCs w:val="20"/>
        </w:rPr>
      </w:pPr>
      <w:r w:rsidRPr="00E73C20">
        <w:rPr>
          <w:sz w:val="20"/>
          <w:szCs w:val="20"/>
        </w:rPr>
        <w:t xml:space="preserve">Proposal due Date </w:t>
      </w:r>
      <w:r w:rsidR="00D6701C" w:rsidRPr="00E73C20">
        <w:rPr>
          <w:sz w:val="20"/>
          <w:szCs w:val="20"/>
        </w:rPr>
        <w:t>August</w:t>
      </w:r>
      <w:r w:rsidRPr="00E73C20">
        <w:rPr>
          <w:sz w:val="20"/>
          <w:szCs w:val="20"/>
        </w:rPr>
        <w:t xml:space="preserve"> </w:t>
      </w:r>
      <w:r w:rsidR="003A0702">
        <w:rPr>
          <w:sz w:val="20"/>
          <w:szCs w:val="20"/>
        </w:rPr>
        <w:t>28</w:t>
      </w:r>
      <w:r w:rsidRPr="00E73C20">
        <w:rPr>
          <w:sz w:val="20"/>
          <w:szCs w:val="20"/>
        </w:rPr>
        <w:t xml:space="preserve">, </w:t>
      </w:r>
      <w:proofErr w:type="gramStart"/>
      <w:r w:rsidRPr="00E73C20">
        <w:rPr>
          <w:sz w:val="20"/>
          <w:szCs w:val="20"/>
        </w:rPr>
        <w:t>2025</w:t>
      </w:r>
      <w:proofErr w:type="gramEnd"/>
      <w:r w:rsidRPr="00E73C20">
        <w:rPr>
          <w:sz w:val="20"/>
          <w:szCs w:val="20"/>
        </w:rPr>
        <w:t xml:space="preserve"> at 2:00 PM EST</w:t>
      </w:r>
    </w:p>
    <w:p w14:paraId="32CDECA8" w14:textId="64816182" w:rsidR="004A7F9E" w:rsidRPr="00E73C20" w:rsidRDefault="004A7F9E" w:rsidP="004A7F9E">
      <w:pPr>
        <w:pStyle w:val="Default"/>
        <w:rPr>
          <w:sz w:val="20"/>
          <w:szCs w:val="20"/>
        </w:rPr>
      </w:pPr>
      <w:r w:rsidRPr="00E73C20">
        <w:rPr>
          <w:sz w:val="20"/>
          <w:szCs w:val="20"/>
        </w:rPr>
        <w:t xml:space="preserve">Award Decision Expected September </w:t>
      </w:r>
      <w:r w:rsidR="003A0702">
        <w:rPr>
          <w:sz w:val="20"/>
          <w:szCs w:val="20"/>
        </w:rPr>
        <w:t>11</w:t>
      </w:r>
      <w:r w:rsidRPr="00E73C20">
        <w:rPr>
          <w:sz w:val="20"/>
          <w:szCs w:val="20"/>
        </w:rPr>
        <w:t xml:space="preserve">, </w:t>
      </w:r>
      <w:proofErr w:type="gramStart"/>
      <w:r w:rsidRPr="00E73C20">
        <w:rPr>
          <w:sz w:val="20"/>
          <w:szCs w:val="20"/>
        </w:rPr>
        <w:t>2025</w:t>
      </w:r>
      <w:proofErr w:type="gramEnd"/>
      <w:r w:rsidRPr="00E73C20">
        <w:rPr>
          <w:sz w:val="20"/>
          <w:szCs w:val="20"/>
        </w:rPr>
        <w:t xml:space="preserve"> 5PM EST</w:t>
      </w:r>
    </w:p>
    <w:p w14:paraId="69FED48C" w14:textId="77777777" w:rsidR="003D095E" w:rsidRPr="00E73C20" w:rsidRDefault="003D095E" w:rsidP="003D095E">
      <w:pPr>
        <w:pStyle w:val="Default"/>
        <w:rPr>
          <w:sz w:val="20"/>
          <w:szCs w:val="20"/>
        </w:rPr>
      </w:pPr>
    </w:p>
    <w:p w14:paraId="4649D4CC" w14:textId="7BDBEC84" w:rsidR="00803B4B" w:rsidRPr="00E73C20" w:rsidRDefault="00803B4B">
      <w:pPr>
        <w:pStyle w:val="CM18"/>
        <w:spacing w:after="225" w:line="231" w:lineRule="atLeast"/>
        <w:ind w:left="720" w:hanging="720"/>
        <w:rPr>
          <w:color w:val="000000"/>
          <w:sz w:val="20"/>
          <w:szCs w:val="20"/>
        </w:rPr>
      </w:pPr>
      <w:r w:rsidRPr="00E73C20">
        <w:rPr>
          <w:b/>
          <w:bCs/>
          <w:color w:val="000000"/>
          <w:sz w:val="20"/>
          <w:szCs w:val="20"/>
        </w:rPr>
        <w:t xml:space="preserve">7.0 RETURN OF </w:t>
      </w:r>
      <w:r w:rsidR="002D5ABF" w:rsidRPr="00E73C20">
        <w:rPr>
          <w:b/>
          <w:bCs/>
          <w:color w:val="000000"/>
          <w:sz w:val="20"/>
          <w:szCs w:val="20"/>
        </w:rPr>
        <w:t>RFP</w:t>
      </w:r>
      <w:r w:rsidRPr="00E73C20">
        <w:rPr>
          <w:b/>
          <w:bCs/>
          <w:color w:val="000000"/>
          <w:sz w:val="20"/>
          <w:szCs w:val="20"/>
        </w:rPr>
        <w:t xml:space="preserve"> DOCUMENTS </w:t>
      </w:r>
    </w:p>
    <w:p w14:paraId="19756397" w14:textId="6D4EB9AE" w:rsidR="00803B4B" w:rsidRPr="00E73C20" w:rsidRDefault="00803B4B" w:rsidP="00423BA0">
      <w:pPr>
        <w:pStyle w:val="CM19"/>
        <w:spacing w:after="455" w:line="231" w:lineRule="atLeast"/>
        <w:rPr>
          <w:color w:val="000000"/>
          <w:sz w:val="20"/>
          <w:szCs w:val="20"/>
        </w:rPr>
      </w:pPr>
      <w:r w:rsidRPr="00E73C20">
        <w:rPr>
          <w:color w:val="000000"/>
          <w:sz w:val="20"/>
          <w:szCs w:val="20"/>
        </w:rPr>
        <w:t xml:space="preserve">Bidders shall not save or keep copies of any PBF documents received during the Request for Proposal (RFP) event. </w:t>
      </w:r>
    </w:p>
    <w:p w14:paraId="477A444A" w14:textId="3B1419B5" w:rsidR="00803B4B" w:rsidRPr="00E73C20" w:rsidRDefault="00803B4B" w:rsidP="00236708">
      <w:pPr>
        <w:pStyle w:val="CM18"/>
        <w:spacing w:after="225" w:line="231" w:lineRule="atLeast"/>
        <w:ind w:left="720"/>
        <w:rPr>
          <w:color w:val="000000"/>
          <w:sz w:val="20"/>
          <w:szCs w:val="20"/>
        </w:rPr>
      </w:pPr>
      <w:r w:rsidRPr="00E73C20">
        <w:rPr>
          <w:b/>
          <w:bCs/>
          <w:color w:val="000000"/>
          <w:sz w:val="20"/>
          <w:szCs w:val="20"/>
        </w:rPr>
        <w:t>B</w:t>
      </w:r>
      <w:r w:rsidR="00423BA0">
        <w:rPr>
          <w:b/>
          <w:bCs/>
          <w:color w:val="000000"/>
          <w:sz w:val="20"/>
          <w:szCs w:val="20"/>
        </w:rPr>
        <w:t xml:space="preserve">IDDER’S RESPONSE </w:t>
      </w:r>
      <w:r w:rsidRPr="00E73C20">
        <w:rPr>
          <w:b/>
          <w:bCs/>
          <w:color w:val="000000"/>
          <w:sz w:val="20"/>
          <w:szCs w:val="20"/>
        </w:rPr>
        <w:t xml:space="preserve">(All Sections REQUIRED) </w:t>
      </w:r>
      <w:r w:rsidR="00236708">
        <w:rPr>
          <w:b/>
          <w:bCs/>
          <w:color w:val="000000"/>
          <w:sz w:val="20"/>
          <w:szCs w:val="20"/>
        </w:rPr>
        <w:t>[Bid Conditions]</w:t>
      </w:r>
    </w:p>
    <w:p w14:paraId="389A99B5" w14:textId="158B3C5D" w:rsidR="00803B4B" w:rsidRPr="00E73C20" w:rsidRDefault="00803B4B" w:rsidP="00423BA0">
      <w:pPr>
        <w:pStyle w:val="CM18"/>
        <w:spacing w:after="225" w:line="231" w:lineRule="atLeast"/>
        <w:rPr>
          <w:color w:val="000000"/>
          <w:sz w:val="20"/>
          <w:szCs w:val="20"/>
        </w:rPr>
      </w:pPr>
      <w:r w:rsidRPr="00E73C20">
        <w:rPr>
          <w:color w:val="000000"/>
          <w:sz w:val="20"/>
          <w:szCs w:val="20"/>
        </w:rPr>
        <w:t xml:space="preserve">Bidder shall submit the following via email per the instructions contained herein. If this information is not submitted with bid submission bidder risks disqualification: </w:t>
      </w:r>
    </w:p>
    <w:p w14:paraId="1E0791E4" w14:textId="77777777" w:rsidR="00803B4B" w:rsidRPr="00E73C20" w:rsidRDefault="00803B4B" w:rsidP="00423BA0">
      <w:pPr>
        <w:pStyle w:val="CM18"/>
        <w:spacing w:after="225" w:line="231" w:lineRule="atLeast"/>
        <w:rPr>
          <w:color w:val="000000"/>
          <w:sz w:val="20"/>
          <w:szCs w:val="20"/>
        </w:rPr>
      </w:pPr>
      <w:r w:rsidRPr="00E73C20">
        <w:rPr>
          <w:b/>
          <w:bCs/>
          <w:color w:val="000000"/>
          <w:sz w:val="20"/>
          <w:szCs w:val="20"/>
        </w:rPr>
        <w:t xml:space="preserve">1. General Bidder Information </w:t>
      </w:r>
    </w:p>
    <w:p w14:paraId="4DB6DBCB" w14:textId="31A9A9C5" w:rsidR="007850E0" w:rsidRDefault="00803B4B" w:rsidP="007850E0">
      <w:pPr>
        <w:pStyle w:val="Default"/>
        <w:spacing w:line="231" w:lineRule="atLeast"/>
        <w:rPr>
          <w:sz w:val="20"/>
          <w:szCs w:val="20"/>
        </w:rPr>
      </w:pPr>
      <w:r w:rsidRPr="00E73C20">
        <w:rPr>
          <w:sz w:val="20"/>
          <w:szCs w:val="20"/>
        </w:rPr>
        <w:t xml:space="preserve">Please provide an overview the following general information: </w:t>
      </w:r>
    </w:p>
    <w:p w14:paraId="0617FD5A" w14:textId="77777777" w:rsidR="00E17FEC" w:rsidRDefault="00803B4B" w:rsidP="00E17FEC">
      <w:pPr>
        <w:pStyle w:val="Default"/>
        <w:numPr>
          <w:ilvl w:val="0"/>
          <w:numId w:val="18"/>
        </w:numPr>
        <w:tabs>
          <w:tab w:val="left" w:pos="1620"/>
        </w:tabs>
        <w:spacing w:after="24"/>
        <w:rPr>
          <w:sz w:val="20"/>
          <w:szCs w:val="20"/>
        </w:rPr>
      </w:pPr>
      <w:r w:rsidRPr="00E73C20">
        <w:rPr>
          <w:sz w:val="20"/>
          <w:szCs w:val="20"/>
        </w:rPr>
        <w:t xml:space="preserve">Services offered </w:t>
      </w:r>
    </w:p>
    <w:p w14:paraId="45EA3AEC" w14:textId="77777777" w:rsidR="00E17FEC" w:rsidRDefault="00803B4B" w:rsidP="00E17FEC">
      <w:pPr>
        <w:pStyle w:val="Default"/>
        <w:numPr>
          <w:ilvl w:val="0"/>
          <w:numId w:val="18"/>
        </w:numPr>
        <w:tabs>
          <w:tab w:val="left" w:pos="1620"/>
        </w:tabs>
        <w:spacing w:after="24"/>
        <w:rPr>
          <w:sz w:val="20"/>
          <w:szCs w:val="20"/>
        </w:rPr>
      </w:pPr>
      <w:r w:rsidRPr="00E17FEC">
        <w:rPr>
          <w:sz w:val="20"/>
          <w:szCs w:val="20"/>
        </w:rPr>
        <w:t xml:space="preserve">Areas of expertise </w:t>
      </w:r>
    </w:p>
    <w:p w14:paraId="57431AEE" w14:textId="77777777" w:rsidR="00E17FEC" w:rsidRDefault="00803B4B" w:rsidP="00E17FEC">
      <w:pPr>
        <w:pStyle w:val="Default"/>
        <w:numPr>
          <w:ilvl w:val="0"/>
          <w:numId w:val="18"/>
        </w:numPr>
        <w:tabs>
          <w:tab w:val="left" w:pos="1620"/>
        </w:tabs>
        <w:spacing w:after="24"/>
        <w:rPr>
          <w:sz w:val="20"/>
          <w:szCs w:val="20"/>
        </w:rPr>
      </w:pPr>
      <w:r w:rsidRPr="00E17FEC">
        <w:rPr>
          <w:sz w:val="20"/>
          <w:szCs w:val="20"/>
        </w:rPr>
        <w:t xml:space="preserve">United States corporate base location </w:t>
      </w:r>
    </w:p>
    <w:p w14:paraId="6F8F967B" w14:textId="77777777" w:rsidR="00E17FEC" w:rsidRDefault="00803B4B" w:rsidP="00E17FEC">
      <w:pPr>
        <w:pStyle w:val="Default"/>
        <w:numPr>
          <w:ilvl w:val="0"/>
          <w:numId w:val="18"/>
        </w:numPr>
        <w:tabs>
          <w:tab w:val="left" w:pos="1620"/>
        </w:tabs>
        <w:spacing w:after="24"/>
        <w:rPr>
          <w:sz w:val="20"/>
          <w:szCs w:val="20"/>
        </w:rPr>
      </w:pPr>
      <w:r w:rsidRPr="00E17FEC">
        <w:rPr>
          <w:sz w:val="20"/>
          <w:szCs w:val="20"/>
        </w:rPr>
        <w:t xml:space="preserve">Organization, experience, and leadership </w:t>
      </w:r>
    </w:p>
    <w:p w14:paraId="23E885C9" w14:textId="70212F3F" w:rsidR="00E17FEC" w:rsidRDefault="00803B4B" w:rsidP="00E17FEC">
      <w:pPr>
        <w:pStyle w:val="Default"/>
        <w:numPr>
          <w:ilvl w:val="0"/>
          <w:numId w:val="18"/>
        </w:numPr>
        <w:tabs>
          <w:tab w:val="left" w:pos="1620"/>
        </w:tabs>
        <w:spacing w:after="24"/>
        <w:rPr>
          <w:sz w:val="20"/>
          <w:szCs w:val="20"/>
        </w:rPr>
      </w:pPr>
      <w:r w:rsidRPr="00E17FEC">
        <w:rPr>
          <w:sz w:val="20"/>
          <w:szCs w:val="20"/>
        </w:rPr>
        <w:t xml:space="preserve">General </w:t>
      </w:r>
      <w:r w:rsidR="00E17FEC">
        <w:rPr>
          <w:sz w:val="20"/>
          <w:szCs w:val="20"/>
        </w:rPr>
        <w:t xml:space="preserve">methanol experience </w:t>
      </w:r>
      <w:r w:rsidRPr="00E17FEC">
        <w:rPr>
          <w:sz w:val="20"/>
          <w:szCs w:val="20"/>
        </w:rPr>
        <w:t xml:space="preserve"> </w:t>
      </w:r>
    </w:p>
    <w:p w14:paraId="5294D8D2" w14:textId="65FC8789" w:rsidR="00036816" w:rsidRPr="00E17FEC" w:rsidRDefault="00036816" w:rsidP="00E17FEC">
      <w:pPr>
        <w:pStyle w:val="Default"/>
        <w:numPr>
          <w:ilvl w:val="0"/>
          <w:numId w:val="18"/>
        </w:numPr>
        <w:tabs>
          <w:tab w:val="left" w:pos="1620"/>
        </w:tabs>
        <w:spacing w:after="24"/>
        <w:rPr>
          <w:sz w:val="20"/>
          <w:szCs w:val="20"/>
        </w:rPr>
      </w:pPr>
      <w:r w:rsidRPr="00E17FEC">
        <w:rPr>
          <w:sz w:val="20"/>
          <w:szCs w:val="20"/>
        </w:rPr>
        <w:t>Certificate showing approved status as a minority, women, or veteran owned business if applicable.</w:t>
      </w:r>
    </w:p>
    <w:p w14:paraId="3CDAE604" w14:textId="77777777" w:rsidR="003D095E" w:rsidRPr="00E73C20" w:rsidRDefault="003D095E" w:rsidP="007F047D">
      <w:pPr>
        <w:pStyle w:val="Default"/>
        <w:tabs>
          <w:tab w:val="left" w:pos="1620"/>
        </w:tabs>
        <w:spacing w:after="240"/>
        <w:rPr>
          <w:sz w:val="20"/>
          <w:szCs w:val="20"/>
        </w:rPr>
      </w:pPr>
    </w:p>
    <w:p w14:paraId="298D93CE" w14:textId="5C36C971" w:rsidR="00803B4B" w:rsidRPr="00E73C20" w:rsidRDefault="00803B4B" w:rsidP="007F047D">
      <w:pPr>
        <w:pStyle w:val="Default"/>
        <w:tabs>
          <w:tab w:val="left" w:pos="1620"/>
        </w:tabs>
        <w:spacing w:after="240"/>
        <w:rPr>
          <w:sz w:val="20"/>
          <w:szCs w:val="20"/>
        </w:rPr>
      </w:pPr>
      <w:r w:rsidRPr="00E73C20">
        <w:rPr>
          <w:sz w:val="20"/>
          <w:szCs w:val="20"/>
        </w:rPr>
        <w:t xml:space="preserve">Please provide contact information for this project: </w:t>
      </w:r>
    </w:p>
    <w:p w14:paraId="381A9E1E" w14:textId="77777777" w:rsidR="00E17FEC" w:rsidRDefault="00803B4B" w:rsidP="00E17FEC">
      <w:pPr>
        <w:pStyle w:val="Default"/>
        <w:numPr>
          <w:ilvl w:val="0"/>
          <w:numId w:val="15"/>
        </w:numPr>
        <w:tabs>
          <w:tab w:val="left" w:pos="1620"/>
        </w:tabs>
        <w:spacing w:after="26"/>
        <w:rPr>
          <w:sz w:val="20"/>
          <w:szCs w:val="20"/>
        </w:rPr>
      </w:pPr>
      <w:r w:rsidRPr="00E73C20">
        <w:rPr>
          <w:sz w:val="20"/>
          <w:szCs w:val="20"/>
        </w:rPr>
        <w:t xml:space="preserve">Project Manager Name </w:t>
      </w:r>
    </w:p>
    <w:p w14:paraId="543CB1F3" w14:textId="77777777" w:rsidR="00E17FEC" w:rsidRDefault="00803B4B" w:rsidP="00E17FEC">
      <w:pPr>
        <w:pStyle w:val="Default"/>
        <w:numPr>
          <w:ilvl w:val="0"/>
          <w:numId w:val="15"/>
        </w:numPr>
        <w:tabs>
          <w:tab w:val="left" w:pos="1620"/>
        </w:tabs>
        <w:spacing w:after="26"/>
        <w:rPr>
          <w:sz w:val="20"/>
          <w:szCs w:val="20"/>
        </w:rPr>
      </w:pPr>
      <w:r w:rsidRPr="00E17FEC">
        <w:rPr>
          <w:sz w:val="20"/>
          <w:szCs w:val="20"/>
        </w:rPr>
        <w:t xml:space="preserve">Project Manager Phone Number </w:t>
      </w:r>
    </w:p>
    <w:p w14:paraId="3B9F823E" w14:textId="77777777" w:rsidR="00E17FEC" w:rsidRDefault="00803B4B" w:rsidP="00E17FEC">
      <w:pPr>
        <w:pStyle w:val="Default"/>
        <w:numPr>
          <w:ilvl w:val="0"/>
          <w:numId w:val="15"/>
        </w:numPr>
        <w:tabs>
          <w:tab w:val="left" w:pos="1620"/>
        </w:tabs>
        <w:spacing w:after="26"/>
        <w:rPr>
          <w:sz w:val="20"/>
          <w:szCs w:val="20"/>
        </w:rPr>
      </w:pPr>
      <w:r w:rsidRPr="00E17FEC">
        <w:rPr>
          <w:sz w:val="20"/>
          <w:szCs w:val="20"/>
        </w:rPr>
        <w:t xml:space="preserve">Project Manager Email </w:t>
      </w:r>
    </w:p>
    <w:p w14:paraId="42BEC52B" w14:textId="729AE712" w:rsidR="00803B4B" w:rsidRPr="00E17FEC" w:rsidRDefault="00803B4B" w:rsidP="00E17FEC">
      <w:pPr>
        <w:pStyle w:val="Default"/>
        <w:numPr>
          <w:ilvl w:val="0"/>
          <w:numId w:val="15"/>
        </w:numPr>
        <w:tabs>
          <w:tab w:val="left" w:pos="1620"/>
        </w:tabs>
        <w:spacing w:after="26"/>
        <w:rPr>
          <w:sz w:val="20"/>
          <w:szCs w:val="20"/>
        </w:rPr>
      </w:pPr>
      <w:r w:rsidRPr="00E17FEC">
        <w:rPr>
          <w:sz w:val="20"/>
          <w:szCs w:val="20"/>
        </w:rPr>
        <w:t xml:space="preserve">Company Address </w:t>
      </w:r>
    </w:p>
    <w:p w14:paraId="2B9ED977" w14:textId="77777777" w:rsidR="00803B4B" w:rsidRPr="00E73C20" w:rsidRDefault="00803B4B">
      <w:pPr>
        <w:pStyle w:val="Default"/>
        <w:rPr>
          <w:sz w:val="20"/>
          <w:szCs w:val="20"/>
        </w:rPr>
      </w:pPr>
    </w:p>
    <w:p w14:paraId="080971B7" w14:textId="48AEFC98" w:rsidR="00803B4B" w:rsidRPr="00E73C20" w:rsidRDefault="00803B4B" w:rsidP="00E17FEC">
      <w:pPr>
        <w:pStyle w:val="CM18"/>
        <w:spacing w:after="225" w:line="231" w:lineRule="atLeast"/>
        <w:rPr>
          <w:b/>
          <w:bCs/>
          <w:sz w:val="20"/>
          <w:szCs w:val="20"/>
        </w:rPr>
      </w:pPr>
      <w:r w:rsidRPr="00E73C20">
        <w:rPr>
          <w:b/>
          <w:bCs/>
          <w:sz w:val="20"/>
          <w:szCs w:val="20"/>
        </w:rPr>
        <w:t>2. Bidder References</w:t>
      </w:r>
      <w:r w:rsidR="00416B8B" w:rsidRPr="00E73C20">
        <w:rPr>
          <w:b/>
          <w:bCs/>
          <w:sz w:val="20"/>
          <w:szCs w:val="20"/>
        </w:rPr>
        <w:t xml:space="preserve"> </w:t>
      </w:r>
    </w:p>
    <w:p w14:paraId="6D5C37E5" w14:textId="14153143" w:rsidR="00803B4B" w:rsidRPr="00E73C20" w:rsidRDefault="00803B4B">
      <w:pPr>
        <w:pStyle w:val="CM20"/>
        <w:spacing w:after="690" w:line="231" w:lineRule="atLeast"/>
        <w:rPr>
          <w:sz w:val="20"/>
          <w:szCs w:val="20"/>
        </w:rPr>
      </w:pPr>
      <w:r w:rsidRPr="00E73C20">
        <w:rPr>
          <w:sz w:val="20"/>
          <w:szCs w:val="20"/>
        </w:rPr>
        <w:t xml:space="preserve">Provide </w:t>
      </w:r>
      <w:r w:rsidR="00FC24E1" w:rsidRPr="00E73C20">
        <w:rPr>
          <w:sz w:val="20"/>
          <w:szCs w:val="20"/>
        </w:rPr>
        <w:t>2</w:t>
      </w:r>
      <w:r w:rsidRPr="00E73C20">
        <w:rPr>
          <w:sz w:val="20"/>
          <w:szCs w:val="20"/>
        </w:rPr>
        <w:t xml:space="preserve"> (</w:t>
      </w:r>
      <w:r w:rsidR="00FC24E1" w:rsidRPr="00E73C20">
        <w:rPr>
          <w:sz w:val="20"/>
          <w:szCs w:val="20"/>
        </w:rPr>
        <w:t>2</w:t>
      </w:r>
      <w:r w:rsidRPr="00E73C20">
        <w:rPr>
          <w:sz w:val="20"/>
          <w:szCs w:val="20"/>
        </w:rPr>
        <w:t xml:space="preserve">) customer firms that can serve as references regarding your firm’s experience, capabilities, and results achieved. Provide company name, contact person familiar with your firm, title, telephone number, e-mail address, nature and scope of services provided, length and dates of relationship. The references provided should represent, as closely as possible, the nature of work proposed here and for a customer and environment </w:t>
      </w:r>
      <w:r w:rsidR="00B90145" w:rsidRPr="00E73C20">
        <w:rPr>
          <w:sz w:val="20"/>
          <w:szCs w:val="20"/>
        </w:rPr>
        <w:t>like</w:t>
      </w:r>
      <w:r w:rsidRPr="00E73C20">
        <w:rPr>
          <w:sz w:val="20"/>
          <w:szCs w:val="20"/>
        </w:rPr>
        <w:t xml:space="preserve"> PBF. </w:t>
      </w:r>
    </w:p>
    <w:p w14:paraId="05D931CC" w14:textId="77777777" w:rsidR="00803B4B" w:rsidRPr="00E73C20" w:rsidRDefault="00803B4B" w:rsidP="00FA639F">
      <w:pPr>
        <w:pStyle w:val="CM18"/>
        <w:pageBreakBefore/>
        <w:spacing w:after="225" w:line="231" w:lineRule="atLeast"/>
        <w:rPr>
          <w:color w:val="000000"/>
          <w:sz w:val="20"/>
          <w:szCs w:val="20"/>
        </w:rPr>
      </w:pPr>
      <w:r w:rsidRPr="00E73C20">
        <w:rPr>
          <w:b/>
          <w:bCs/>
          <w:color w:val="000000"/>
          <w:sz w:val="20"/>
          <w:szCs w:val="20"/>
        </w:rPr>
        <w:lastRenderedPageBreak/>
        <w:t xml:space="preserve">3. Execution Plan </w:t>
      </w:r>
    </w:p>
    <w:p w14:paraId="78581E45" w14:textId="0F47B5BE" w:rsidR="00803B4B" w:rsidRPr="00E73C20" w:rsidRDefault="00F32BC3">
      <w:pPr>
        <w:pStyle w:val="CM19"/>
        <w:spacing w:after="455" w:line="231" w:lineRule="atLeast"/>
        <w:rPr>
          <w:color w:val="000000"/>
          <w:sz w:val="20"/>
          <w:szCs w:val="20"/>
        </w:rPr>
      </w:pPr>
      <w:r w:rsidRPr="00E73C20">
        <w:rPr>
          <w:color w:val="000000"/>
          <w:sz w:val="20"/>
          <w:szCs w:val="20"/>
        </w:rPr>
        <w:t>Bidder</w:t>
      </w:r>
      <w:r w:rsidR="00803B4B" w:rsidRPr="00E73C20">
        <w:rPr>
          <w:color w:val="000000"/>
          <w:sz w:val="20"/>
          <w:szCs w:val="20"/>
        </w:rPr>
        <w:t xml:space="preserve"> shall provide an overview on how they plan to execute the work to achieve cost, schedule, and quality. This plan shall include at a minimum home office management support, project controls systems and support, manpower deployment strategy, and approach to coordination and sequencing of work elements. Execution Plan should include all services offered. </w:t>
      </w:r>
    </w:p>
    <w:p w14:paraId="678E41FD" w14:textId="77777777" w:rsidR="00803B4B" w:rsidRPr="00E73C20" w:rsidRDefault="00803B4B" w:rsidP="00FA639F">
      <w:pPr>
        <w:pStyle w:val="CM18"/>
        <w:spacing w:after="225" w:line="231" w:lineRule="atLeast"/>
        <w:rPr>
          <w:color w:val="000000"/>
          <w:sz w:val="20"/>
          <w:szCs w:val="20"/>
        </w:rPr>
      </w:pPr>
      <w:r w:rsidRPr="00E73C20">
        <w:rPr>
          <w:b/>
          <w:bCs/>
          <w:color w:val="000000"/>
          <w:sz w:val="20"/>
          <w:szCs w:val="20"/>
        </w:rPr>
        <w:t xml:space="preserve">4. Organization Chart </w:t>
      </w:r>
    </w:p>
    <w:p w14:paraId="163C370B" w14:textId="5C51EAE5" w:rsidR="006F4CEF" w:rsidRPr="00E73C20" w:rsidRDefault="00803B4B" w:rsidP="006F4CEF">
      <w:pPr>
        <w:pStyle w:val="CM15"/>
        <w:rPr>
          <w:b/>
          <w:bCs/>
          <w:color w:val="000000"/>
          <w:sz w:val="20"/>
          <w:szCs w:val="20"/>
        </w:rPr>
      </w:pPr>
      <w:r w:rsidRPr="00E73C20">
        <w:rPr>
          <w:color w:val="000000"/>
          <w:sz w:val="20"/>
          <w:szCs w:val="20"/>
        </w:rPr>
        <w:t xml:space="preserve">Bidder shall submit an organization chart of all proposed staff personnel to complete the </w:t>
      </w:r>
      <w:r w:rsidRPr="00E73C20">
        <w:rPr>
          <w:sz w:val="20"/>
          <w:szCs w:val="20"/>
        </w:rPr>
        <w:t>project</w:t>
      </w:r>
      <w:r w:rsidR="001F720A" w:rsidRPr="00E73C20">
        <w:rPr>
          <w:sz w:val="20"/>
          <w:szCs w:val="20"/>
        </w:rPr>
        <w:t xml:space="preserve"> </w:t>
      </w:r>
      <w:r w:rsidR="001F720A" w:rsidRPr="00E73C20">
        <w:rPr>
          <w:b/>
          <w:bCs/>
          <w:sz w:val="20"/>
          <w:szCs w:val="20"/>
        </w:rPr>
        <w:t>including overall accountability and day-to-day accountability</w:t>
      </w:r>
      <w:r w:rsidRPr="00E73C20">
        <w:rPr>
          <w:color w:val="000000"/>
          <w:sz w:val="20"/>
          <w:szCs w:val="20"/>
        </w:rPr>
        <w:t>. Please include job description that defines the responsibilities and authorities for each position proposed. Please include</w:t>
      </w:r>
      <w:r w:rsidR="00B31243" w:rsidRPr="00E73C20">
        <w:rPr>
          <w:color w:val="000000"/>
          <w:sz w:val="20"/>
          <w:szCs w:val="20"/>
        </w:rPr>
        <w:t xml:space="preserve"> the</w:t>
      </w:r>
      <w:r w:rsidRPr="00E73C20">
        <w:rPr>
          <w:color w:val="000000"/>
          <w:sz w:val="20"/>
          <w:szCs w:val="20"/>
        </w:rPr>
        <w:t xml:space="preserve"> resume</w:t>
      </w:r>
      <w:r w:rsidR="006F4CEF" w:rsidRPr="00E73C20">
        <w:rPr>
          <w:color w:val="000000"/>
          <w:sz w:val="20"/>
          <w:szCs w:val="20"/>
        </w:rPr>
        <w:t xml:space="preserve"> for </w:t>
      </w:r>
      <w:r w:rsidR="00B31243" w:rsidRPr="00E73C20">
        <w:rPr>
          <w:color w:val="000000"/>
          <w:sz w:val="20"/>
          <w:szCs w:val="20"/>
        </w:rPr>
        <w:t>the project manager who will lead the project</w:t>
      </w:r>
      <w:r w:rsidRPr="00E73C20">
        <w:rPr>
          <w:color w:val="000000"/>
          <w:sz w:val="20"/>
          <w:szCs w:val="20"/>
        </w:rPr>
        <w:t xml:space="preserve">. </w:t>
      </w:r>
      <w:r w:rsidRPr="00E73C20">
        <w:rPr>
          <w:b/>
          <w:bCs/>
          <w:color w:val="000000"/>
          <w:sz w:val="20"/>
          <w:szCs w:val="20"/>
        </w:rPr>
        <w:t>The Company reserves the right to approve or reject proposed key personnel.</w:t>
      </w:r>
    </w:p>
    <w:p w14:paraId="032E3A7A" w14:textId="77777777" w:rsidR="006F4CEF" w:rsidRPr="00E73C20" w:rsidRDefault="006F4CEF" w:rsidP="006F4CEF">
      <w:pPr>
        <w:pStyle w:val="CM15"/>
        <w:rPr>
          <w:b/>
          <w:bCs/>
          <w:color w:val="000000"/>
          <w:sz w:val="20"/>
          <w:szCs w:val="20"/>
        </w:rPr>
      </w:pPr>
    </w:p>
    <w:p w14:paraId="75E32E39" w14:textId="2EC42BB4" w:rsidR="00542D9E" w:rsidRPr="00E73C20" w:rsidRDefault="006F4CEF" w:rsidP="00542D9E">
      <w:pPr>
        <w:pStyle w:val="CM15"/>
        <w:rPr>
          <w:color w:val="000000"/>
          <w:sz w:val="20"/>
          <w:szCs w:val="20"/>
        </w:rPr>
      </w:pPr>
      <w:r w:rsidRPr="00E73C20">
        <w:rPr>
          <w:color w:val="000000"/>
          <w:sz w:val="20"/>
          <w:szCs w:val="20"/>
        </w:rPr>
        <w:t xml:space="preserve">This is a short-term study not anticipated to be longer than 3 months in duration. It is a project requirement that the project lead for the study remain in this role through the entire project unless it is requested by PBF that they be removed. </w:t>
      </w:r>
      <w:r w:rsidR="00D926AE" w:rsidRPr="00E73C20">
        <w:rPr>
          <w:color w:val="000000"/>
          <w:sz w:val="20"/>
          <w:szCs w:val="20"/>
        </w:rPr>
        <w:t>Language to the effect will be included in the contract</w:t>
      </w:r>
      <w:r w:rsidR="00542D9E" w:rsidRPr="00E73C20">
        <w:rPr>
          <w:color w:val="000000"/>
          <w:sz w:val="20"/>
          <w:szCs w:val="20"/>
        </w:rPr>
        <w:t>.</w:t>
      </w:r>
    </w:p>
    <w:p w14:paraId="7F2BDB10" w14:textId="77777777" w:rsidR="00542D9E" w:rsidRPr="00E73C20" w:rsidRDefault="00542D9E" w:rsidP="00542D9E">
      <w:pPr>
        <w:pStyle w:val="Default"/>
        <w:rPr>
          <w:sz w:val="20"/>
          <w:szCs w:val="20"/>
        </w:rPr>
      </w:pPr>
    </w:p>
    <w:p w14:paraId="58F2C019" w14:textId="1D6FB4A4" w:rsidR="00542D9E" w:rsidRPr="00E73C20" w:rsidRDefault="00542D9E" w:rsidP="00542D9E">
      <w:pPr>
        <w:pStyle w:val="Default"/>
        <w:rPr>
          <w:sz w:val="20"/>
          <w:szCs w:val="20"/>
        </w:rPr>
      </w:pPr>
      <w:r w:rsidRPr="00E73C20">
        <w:rPr>
          <w:sz w:val="20"/>
          <w:szCs w:val="20"/>
        </w:rPr>
        <w:t xml:space="preserve">Bidder shall include information regarding any part of the work that they plan to </w:t>
      </w:r>
      <w:r w:rsidR="00CC0D12" w:rsidRPr="00E73C20">
        <w:rPr>
          <w:sz w:val="20"/>
          <w:szCs w:val="20"/>
        </w:rPr>
        <w:t>subcontract,</w:t>
      </w:r>
      <w:r w:rsidRPr="00E73C20">
        <w:rPr>
          <w:sz w:val="20"/>
          <w:szCs w:val="20"/>
        </w:rPr>
        <w:t xml:space="preserve"> including the name and contact information of the subcontract recipient.</w:t>
      </w:r>
    </w:p>
    <w:p w14:paraId="7DD1261F" w14:textId="77777777" w:rsidR="000115A1" w:rsidRPr="00E73C20" w:rsidRDefault="000115A1" w:rsidP="000115A1">
      <w:pPr>
        <w:pStyle w:val="Default"/>
        <w:rPr>
          <w:sz w:val="20"/>
          <w:szCs w:val="20"/>
        </w:rPr>
      </w:pPr>
    </w:p>
    <w:p w14:paraId="1E51F5F1" w14:textId="77777777" w:rsidR="000115A1" w:rsidRPr="00E73C20" w:rsidRDefault="000115A1" w:rsidP="000115A1">
      <w:pPr>
        <w:pStyle w:val="Default"/>
        <w:rPr>
          <w:sz w:val="20"/>
          <w:szCs w:val="20"/>
        </w:rPr>
      </w:pPr>
    </w:p>
    <w:p w14:paraId="6405E680" w14:textId="77777777" w:rsidR="00803B4B" w:rsidRPr="00E73C20" w:rsidRDefault="00803B4B" w:rsidP="00FA639F">
      <w:pPr>
        <w:pStyle w:val="CM18"/>
        <w:spacing w:after="225" w:line="231" w:lineRule="atLeast"/>
        <w:rPr>
          <w:color w:val="000000"/>
          <w:sz w:val="20"/>
          <w:szCs w:val="20"/>
        </w:rPr>
      </w:pPr>
      <w:r w:rsidRPr="00E73C20">
        <w:rPr>
          <w:b/>
          <w:bCs/>
          <w:color w:val="000000"/>
          <w:sz w:val="20"/>
          <w:szCs w:val="20"/>
        </w:rPr>
        <w:t xml:space="preserve">5. Commercial Proposal </w:t>
      </w:r>
    </w:p>
    <w:p w14:paraId="5168B7AE" w14:textId="5F2DFC70" w:rsidR="00803B4B" w:rsidRDefault="00803B4B">
      <w:pPr>
        <w:pStyle w:val="CM20"/>
        <w:spacing w:after="690" w:line="231" w:lineRule="atLeast"/>
        <w:rPr>
          <w:color w:val="000000"/>
          <w:sz w:val="20"/>
          <w:szCs w:val="20"/>
        </w:rPr>
      </w:pPr>
      <w:r w:rsidRPr="00E73C20">
        <w:rPr>
          <w:color w:val="000000"/>
          <w:sz w:val="20"/>
          <w:szCs w:val="20"/>
        </w:rPr>
        <w:t xml:space="preserve">Bidder shall provide an all-inclusive and transparent commercial proposal. The proposal shall include a lump sum. </w:t>
      </w:r>
      <w:r w:rsidR="00F32BC3" w:rsidRPr="003C5BC4">
        <w:rPr>
          <w:b/>
          <w:bCs/>
          <w:color w:val="000000"/>
          <w:sz w:val="20"/>
          <w:szCs w:val="20"/>
        </w:rPr>
        <w:t>Company wished the bidders to adhere to a Not to Exceed amount of $750,000. If this is not possible for your proposal, please include an explanation for our review.</w:t>
      </w:r>
      <w:r w:rsidR="00F32BC3">
        <w:rPr>
          <w:color w:val="000000"/>
          <w:sz w:val="20"/>
          <w:szCs w:val="20"/>
        </w:rPr>
        <w:t xml:space="preserve"> </w:t>
      </w:r>
      <w:r w:rsidR="00C04FFA">
        <w:rPr>
          <w:color w:val="000000"/>
          <w:sz w:val="20"/>
          <w:szCs w:val="20"/>
        </w:rPr>
        <w:t>Please include a breakdown of the lump sum amount by labor, travel, material costs</w:t>
      </w:r>
      <w:r w:rsidR="00441963">
        <w:rPr>
          <w:color w:val="000000"/>
          <w:sz w:val="20"/>
          <w:szCs w:val="20"/>
        </w:rPr>
        <w:t xml:space="preserve">, and any other criteria necessary. The </w:t>
      </w:r>
      <w:r w:rsidR="00F32BC3">
        <w:rPr>
          <w:color w:val="000000"/>
          <w:sz w:val="20"/>
          <w:szCs w:val="20"/>
        </w:rPr>
        <w:t>p</w:t>
      </w:r>
      <w:r w:rsidR="00441963">
        <w:rPr>
          <w:color w:val="000000"/>
          <w:sz w:val="20"/>
          <w:szCs w:val="20"/>
        </w:rPr>
        <w:t>roposal must also include a list of anticipated labor hours by position assigned to the project which would correlate to the full project hours and cost.</w:t>
      </w:r>
      <w:r w:rsidR="00C04FFA">
        <w:rPr>
          <w:color w:val="000000"/>
          <w:sz w:val="20"/>
          <w:szCs w:val="20"/>
        </w:rPr>
        <w:t xml:space="preserve"> </w:t>
      </w:r>
      <w:r w:rsidR="00012873">
        <w:rPr>
          <w:color w:val="000000"/>
          <w:sz w:val="20"/>
          <w:szCs w:val="20"/>
        </w:rPr>
        <w:t xml:space="preserve">Please also include a rate card listing </w:t>
      </w:r>
      <w:proofErr w:type="gramStart"/>
      <w:r w:rsidR="00012873">
        <w:rPr>
          <w:color w:val="000000"/>
          <w:sz w:val="20"/>
          <w:szCs w:val="20"/>
        </w:rPr>
        <w:t>all of</w:t>
      </w:r>
      <w:proofErr w:type="gramEnd"/>
      <w:r w:rsidR="00012873">
        <w:rPr>
          <w:color w:val="000000"/>
          <w:sz w:val="20"/>
          <w:szCs w:val="20"/>
        </w:rPr>
        <w:t xml:space="preserve"> the positions and their hourly rate. </w:t>
      </w:r>
      <w:r w:rsidRPr="00E73C20">
        <w:rPr>
          <w:color w:val="000000"/>
          <w:sz w:val="20"/>
          <w:szCs w:val="20"/>
        </w:rPr>
        <w:t xml:space="preserve">Commercial Terms and conditions shall be provided and negotiated based on determination of final selected bidders. </w:t>
      </w:r>
    </w:p>
    <w:p w14:paraId="47875FA3" w14:textId="77777777" w:rsidR="00F32BC3" w:rsidRPr="00F32BC3" w:rsidRDefault="00F32BC3" w:rsidP="00F32BC3">
      <w:pPr>
        <w:pStyle w:val="Default"/>
      </w:pPr>
    </w:p>
    <w:p w14:paraId="395B7FBA" w14:textId="77777777" w:rsidR="00803B4B" w:rsidRPr="00E73C20" w:rsidRDefault="00803B4B" w:rsidP="00FA639F">
      <w:pPr>
        <w:pStyle w:val="CM18"/>
        <w:spacing w:after="225" w:line="231" w:lineRule="atLeast"/>
        <w:rPr>
          <w:color w:val="000000"/>
          <w:sz w:val="20"/>
          <w:szCs w:val="20"/>
        </w:rPr>
      </w:pPr>
      <w:r w:rsidRPr="00E73C20">
        <w:rPr>
          <w:b/>
          <w:bCs/>
          <w:color w:val="000000"/>
          <w:sz w:val="20"/>
          <w:szCs w:val="20"/>
        </w:rPr>
        <w:t xml:space="preserve">6. Additional Information to be included: </w:t>
      </w:r>
    </w:p>
    <w:p w14:paraId="0407E89E" w14:textId="77777777" w:rsidR="00875515" w:rsidRDefault="00803B4B" w:rsidP="00875515">
      <w:pPr>
        <w:pStyle w:val="Default"/>
        <w:numPr>
          <w:ilvl w:val="0"/>
          <w:numId w:val="4"/>
        </w:numPr>
        <w:tabs>
          <w:tab w:val="left" w:pos="1620"/>
        </w:tabs>
        <w:spacing w:after="24"/>
        <w:ind w:left="720" w:hanging="360"/>
        <w:rPr>
          <w:sz w:val="20"/>
          <w:szCs w:val="20"/>
        </w:rPr>
      </w:pPr>
      <w:r w:rsidRPr="00875515">
        <w:rPr>
          <w:sz w:val="20"/>
          <w:szCs w:val="20"/>
        </w:rPr>
        <w:t xml:space="preserve">Recent project completions </w:t>
      </w:r>
    </w:p>
    <w:p w14:paraId="59A683F2" w14:textId="77777777" w:rsidR="00875515" w:rsidRDefault="00803B4B" w:rsidP="00875515">
      <w:pPr>
        <w:pStyle w:val="Default"/>
        <w:numPr>
          <w:ilvl w:val="0"/>
          <w:numId w:val="4"/>
        </w:numPr>
        <w:tabs>
          <w:tab w:val="left" w:pos="1620"/>
        </w:tabs>
        <w:spacing w:after="24"/>
        <w:ind w:left="720" w:hanging="360"/>
        <w:rPr>
          <w:sz w:val="20"/>
          <w:szCs w:val="20"/>
        </w:rPr>
      </w:pPr>
      <w:r w:rsidRPr="00875515">
        <w:rPr>
          <w:sz w:val="20"/>
          <w:szCs w:val="20"/>
        </w:rPr>
        <w:t xml:space="preserve">Project deliverables listing </w:t>
      </w:r>
    </w:p>
    <w:p w14:paraId="4F2A6BED" w14:textId="3177BD50" w:rsidR="00803B4B" w:rsidRPr="00875515" w:rsidRDefault="00803B4B" w:rsidP="00875515">
      <w:pPr>
        <w:pStyle w:val="Default"/>
        <w:numPr>
          <w:ilvl w:val="0"/>
          <w:numId w:val="4"/>
        </w:numPr>
        <w:tabs>
          <w:tab w:val="left" w:pos="1620"/>
        </w:tabs>
        <w:spacing w:after="24"/>
        <w:ind w:left="720" w:hanging="360"/>
        <w:rPr>
          <w:sz w:val="20"/>
          <w:szCs w:val="20"/>
        </w:rPr>
      </w:pPr>
      <w:r w:rsidRPr="00875515">
        <w:rPr>
          <w:sz w:val="20"/>
          <w:szCs w:val="20"/>
        </w:rPr>
        <w:t xml:space="preserve">Clarifications and assumption log </w:t>
      </w:r>
    </w:p>
    <w:p w14:paraId="00B2ABC2" w14:textId="77777777" w:rsidR="002A0B54" w:rsidRPr="00E73C20" w:rsidRDefault="002A0B54" w:rsidP="002A0B54">
      <w:pPr>
        <w:pStyle w:val="Default"/>
        <w:rPr>
          <w:sz w:val="20"/>
          <w:szCs w:val="20"/>
        </w:rPr>
      </w:pPr>
    </w:p>
    <w:p w14:paraId="1B9DCA28" w14:textId="77777777" w:rsidR="000115A1" w:rsidRPr="00E73C20" w:rsidRDefault="000115A1" w:rsidP="002A0B54">
      <w:pPr>
        <w:pStyle w:val="Default"/>
        <w:rPr>
          <w:sz w:val="20"/>
          <w:szCs w:val="20"/>
        </w:rPr>
      </w:pPr>
    </w:p>
    <w:p w14:paraId="198E8ACF" w14:textId="77777777" w:rsidR="000115A1" w:rsidRPr="00E73C20" w:rsidRDefault="000115A1" w:rsidP="002A0B54">
      <w:pPr>
        <w:pStyle w:val="Default"/>
        <w:rPr>
          <w:sz w:val="20"/>
          <w:szCs w:val="20"/>
        </w:rPr>
      </w:pPr>
    </w:p>
    <w:p w14:paraId="6A7F3EC9" w14:textId="0C9C7033" w:rsidR="002A0B54" w:rsidRPr="00E73C20" w:rsidRDefault="002A0B54" w:rsidP="00FA639F">
      <w:pPr>
        <w:pStyle w:val="CM18"/>
        <w:spacing w:after="225" w:line="231" w:lineRule="atLeast"/>
        <w:rPr>
          <w:color w:val="000000"/>
          <w:sz w:val="20"/>
          <w:szCs w:val="20"/>
        </w:rPr>
      </w:pPr>
      <w:bookmarkStart w:id="0" w:name="_Hlk184221236"/>
      <w:r w:rsidRPr="00E73C20">
        <w:rPr>
          <w:b/>
          <w:bCs/>
          <w:color w:val="000000"/>
          <w:sz w:val="20"/>
          <w:szCs w:val="20"/>
        </w:rPr>
        <w:t>7. Signed copy of</w:t>
      </w:r>
      <w:r w:rsidR="002D5ABF" w:rsidRPr="00E73C20">
        <w:rPr>
          <w:b/>
          <w:bCs/>
          <w:color w:val="000000"/>
          <w:sz w:val="20"/>
          <w:szCs w:val="20"/>
        </w:rPr>
        <w:t xml:space="preserve"> PBF Professional Services Contract</w:t>
      </w:r>
    </w:p>
    <w:p w14:paraId="42AED0D6" w14:textId="77777777" w:rsidR="001C2E92" w:rsidRDefault="002D5ABF" w:rsidP="001C2E92">
      <w:pPr>
        <w:pStyle w:val="Default"/>
        <w:numPr>
          <w:ilvl w:val="0"/>
          <w:numId w:val="4"/>
        </w:numPr>
        <w:tabs>
          <w:tab w:val="left" w:pos="1620"/>
        </w:tabs>
        <w:spacing w:after="24"/>
        <w:ind w:left="720" w:hanging="360"/>
        <w:rPr>
          <w:sz w:val="20"/>
          <w:szCs w:val="20"/>
        </w:rPr>
      </w:pPr>
      <w:r w:rsidRPr="001C2E92">
        <w:rPr>
          <w:sz w:val="20"/>
          <w:szCs w:val="20"/>
        </w:rPr>
        <w:t>A signed or redlined copy must be returned with the proposal submission. Preference will be given for any contract that is signed without redlines and any redlines will be considered as part of the evaluation for award.</w:t>
      </w:r>
      <w:r w:rsidR="00C161F2" w:rsidRPr="001C2E92">
        <w:rPr>
          <w:sz w:val="20"/>
          <w:szCs w:val="20"/>
        </w:rPr>
        <w:t xml:space="preserve"> Scope of Work and Compensation sections of a signed contract will be updated after the award, via amendment.</w:t>
      </w:r>
    </w:p>
    <w:p w14:paraId="349C47E7" w14:textId="5E308C82" w:rsidR="002A0B54" w:rsidRPr="00891097" w:rsidRDefault="0071258C" w:rsidP="00891097">
      <w:pPr>
        <w:pStyle w:val="Default"/>
        <w:numPr>
          <w:ilvl w:val="0"/>
          <w:numId w:val="4"/>
        </w:numPr>
        <w:tabs>
          <w:tab w:val="left" w:pos="1620"/>
        </w:tabs>
        <w:spacing w:after="24"/>
        <w:ind w:left="720" w:hanging="360"/>
        <w:rPr>
          <w:color w:val="auto"/>
          <w:sz w:val="20"/>
          <w:szCs w:val="20"/>
        </w:rPr>
      </w:pPr>
      <w:r w:rsidRPr="00891097">
        <w:rPr>
          <w:color w:val="auto"/>
          <w:sz w:val="20"/>
          <w:szCs w:val="20"/>
        </w:rPr>
        <w:t>Desired contract length: 3 years</w:t>
      </w:r>
      <w:bookmarkEnd w:id="0"/>
    </w:p>
    <w:p w14:paraId="297B54EA" w14:textId="77777777" w:rsidR="00803B4B" w:rsidRDefault="00803B4B">
      <w:pPr>
        <w:pStyle w:val="Default"/>
        <w:rPr>
          <w:sz w:val="20"/>
          <w:szCs w:val="20"/>
        </w:rPr>
      </w:pPr>
    </w:p>
    <w:p w14:paraId="3605666F" w14:textId="77777777" w:rsidR="000F1022" w:rsidRDefault="000F1022">
      <w:pPr>
        <w:pStyle w:val="Default"/>
        <w:rPr>
          <w:sz w:val="20"/>
          <w:szCs w:val="20"/>
        </w:rPr>
      </w:pPr>
    </w:p>
    <w:p w14:paraId="535ADA59" w14:textId="77777777" w:rsidR="000F1022" w:rsidRDefault="000F1022">
      <w:pPr>
        <w:pStyle w:val="Default"/>
        <w:rPr>
          <w:sz w:val="20"/>
          <w:szCs w:val="20"/>
        </w:rPr>
      </w:pPr>
    </w:p>
    <w:p w14:paraId="009F5370" w14:textId="77777777" w:rsidR="000F1022" w:rsidRDefault="000F1022">
      <w:pPr>
        <w:pStyle w:val="Default"/>
        <w:rPr>
          <w:sz w:val="20"/>
          <w:szCs w:val="20"/>
        </w:rPr>
      </w:pPr>
    </w:p>
    <w:p w14:paraId="601A4DB9" w14:textId="77777777" w:rsidR="000F1022" w:rsidRDefault="000F1022">
      <w:pPr>
        <w:pStyle w:val="Default"/>
        <w:rPr>
          <w:sz w:val="20"/>
          <w:szCs w:val="20"/>
        </w:rPr>
      </w:pPr>
    </w:p>
    <w:p w14:paraId="51E0F13C" w14:textId="77777777" w:rsidR="000F1022" w:rsidRDefault="000F1022">
      <w:pPr>
        <w:pStyle w:val="Default"/>
        <w:rPr>
          <w:sz w:val="20"/>
          <w:szCs w:val="20"/>
        </w:rPr>
      </w:pPr>
    </w:p>
    <w:p w14:paraId="5E7C655D" w14:textId="77777777" w:rsidR="000F1022" w:rsidRDefault="000F1022">
      <w:pPr>
        <w:pStyle w:val="Default"/>
        <w:rPr>
          <w:sz w:val="20"/>
          <w:szCs w:val="20"/>
        </w:rPr>
      </w:pPr>
    </w:p>
    <w:p w14:paraId="4FF4D228" w14:textId="77777777" w:rsidR="000F1022" w:rsidRDefault="000F1022">
      <w:pPr>
        <w:pStyle w:val="Default"/>
        <w:rPr>
          <w:sz w:val="20"/>
          <w:szCs w:val="20"/>
        </w:rPr>
      </w:pPr>
    </w:p>
    <w:p w14:paraId="731DD2F9" w14:textId="77777777" w:rsidR="000F1022" w:rsidRDefault="000F1022">
      <w:pPr>
        <w:pStyle w:val="Default"/>
        <w:rPr>
          <w:sz w:val="20"/>
          <w:szCs w:val="20"/>
        </w:rPr>
      </w:pPr>
    </w:p>
    <w:p w14:paraId="05294088" w14:textId="77777777" w:rsidR="000F1022" w:rsidRPr="00E73C20" w:rsidRDefault="000F1022">
      <w:pPr>
        <w:pStyle w:val="Default"/>
        <w:rPr>
          <w:sz w:val="20"/>
          <w:szCs w:val="20"/>
        </w:rPr>
      </w:pPr>
    </w:p>
    <w:p w14:paraId="28CF2DD4" w14:textId="23677F5D" w:rsidR="000F1022" w:rsidRDefault="000F1022" w:rsidP="000F1022">
      <w:pPr>
        <w:pStyle w:val="CM18"/>
        <w:spacing w:after="225" w:line="231" w:lineRule="atLeast"/>
        <w:rPr>
          <w:b/>
          <w:bCs/>
          <w:color w:val="000000"/>
          <w:sz w:val="20"/>
          <w:szCs w:val="20"/>
        </w:rPr>
      </w:pPr>
      <w:r>
        <w:rPr>
          <w:b/>
          <w:bCs/>
          <w:color w:val="000000"/>
          <w:sz w:val="20"/>
          <w:szCs w:val="20"/>
        </w:rPr>
        <w:t>8.0 Proposal Evaluation Criteria</w:t>
      </w:r>
    </w:p>
    <w:tbl>
      <w:tblPr>
        <w:tblW w:w="6380" w:type="dxa"/>
        <w:tblLook w:val="04A0" w:firstRow="1" w:lastRow="0" w:firstColumn="1" w:lastColumn="0" w:noHBand="0" w:noVBand="1"/>
      </w:tblPr>
      <w:tblGrid>
        <w:gridCol w:w="5310"/>
        <w:gridCol w:w="1070"/>
      </w:tblGrid>
      <w:tr w:rsidR="000F1022" w:rsidRPr="00D44E13" w14:paraId="204163AD" w14:textId="77777777" w:rsidTr="00F47F2A">
        <w:trPr>
          <w:trHeight w:val="645"/>
        </w:trPr>
        <w:tc>
          <w:tcPr>
            <w:tcW w:w="5420" w:type="dxa"/>
            <w:tcBorders>
              <w:top w:val="nil"/>
              <w:left w:val="single" w:sz="8" w:space="0" w:color="auto"/>
              <w:bottom w:val="single" w:sz="8" w:space="0" w:color="auto"/>
              <w:right w:val="nil"/>
            </w:tcBorders>
            <w:shd w:val="clear" w:color="000000" w:fill="D9E1F2"/>
            <w:vAlign w:val="center"/>
            <w:hideMark/>
          </w:tcPr>
          <w:p w14:paraId="2F1DE832" w14:textId="77777777" w:rsidR="000F1022" w:rsidRPr="00D44E13" w:rsidRDefault="000F1022" w:rsidP="00F47F2A">
            <w:pPr>
              <w:spacing w:after="0" w:line="240" w:lineRule="auto"/>
              <w:rPr>
                <w:rFonts w:ascii="Calibri" w:eastAsia="Times New Roman" w:hAnsi="Calibri" w:cs="Calibri"/>
                <w:b/>
                <w:bCs/>
                <w:kern w:val="0"/>
                <w:sz w:val="24"/>
                <w:szCs w:val="24"/>
              </w:rPr>
            </w:pPr>
            <w:r w:rsidRPr="00D44E13">
              <w:rPr>
                <w:rFonts w:ascii="Calibri" w:eastAsia="Times New Roman" w:hAnsi="Calibri" w:cs="Calibri"/>
                <w:b/>
                <w:bCs/>
                <w:kern w:val="0"/>
                <w:sz w:val="24"/>
                <w:szCs w:val="24"/>
              </w:rPr>
              <w:t xml:space="preserve">Summary of Evaluators </w:t>
            </w:r>
            <w:proofErr w:type="gramStart"/>
            <w:r w:rsidRPr="00D44E13">
              <w:rPr>
                <w:rFonts w:ascii="Calibri" w:eastAsia="Times New Roman" w:hAnsi="Calibri" w:cs="Calibri"/>
                <w:b/>
                <w:bCs/>
                <w:kern w:val="0"/>
                <w:sz w:val="24"/>
                <w:szCs w:val="24"/>
              </w:rPr>
              <w:t>By</w:t>
            </w:r>
            <w:proofErr w:type="gramEnd"/>
            <w:r w:rsidRPr="00D44E13">
              <w:rPr>
                <w:rFonts w:ascii="Calibri" w:eastAsia="Times New Roman" w:hAnsi="Calibri" w:cs="Calibri"/>
                <w:b/>
                <w:bCs/>
                <w:kern w:val="0"/>
                <w:sz w:val="24"/>
                <w:szCs w:val="24"/>
              </w:rPr>
              <w:t xml:space="preserve"> Area or Subject Evaluated</w:t>
            </w:r>
          </w:p>
        </w:tc>
        <w:tc>
          <w:tcPr>
            <w:tcW w:w="960" w:type="dxa"/>
            <w:tcBorders>
              <w:top w:val="nil"/>
              <w:left w:val="single" w:sz="8" w:space="0" w:color="auto"/>
              <w:bottom w:val="single" w:sz="8" w:space="0" w:color="auto"/>
              <w:right w:val="single" w:sz="8" w:space="0" w:color="auto"/>
            </w:tcBorders>
            <w:shd w:val="clear" w:color="000000" w:fill="D9E1F2"/>
            <w:vAlign w:val="center"/>
            <w:hideMark/>
          </w:tcPr>
          <w:p w14:paraId="29619943"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Category Weighting</w:t>
            </w:r>
          </w:p>
        </w:tc>
      </w:tr>
      <w:tr w:rsidR="000F1022" w:rsidRPr="00D44E13" w14:paraId="747C9F4D" w14:textId="77777777" w:rsidTr="00F47F2A">
        <w:trPr>
          <w:trHeight w:val="330"/>
        </w:trPr>
        <w:tc>
          <w:tcPr>
            <w:tcW w:w="5420" w:type="dxa"/>
            <w:tcBorders>
              <w:top w:val="nil"/>
              <w:left w:val="single" w:sz="8" w:space="0" w:color="auto"/>
              <w:bottom w:val="single" w:sz="8" w:space="0" w:color="auto"/>
              <w:right w:val="single" w:sz="8" w:space="0" w:color="auto"/>
            </w:tcBorders>
            <w:shd w:val="clear" w:color="auto" w:fill="auto"/>
            <w:vAlign w:val="center"/>
            <w:hideMark/>
          </w:tcPr>
          <w:p w14:paraId="0799B081" w14:textId="77777777" w:rsidR="000F1022" w:rsidRPr="00D44E13" w:rsidRDefault="000F1022" w:rsidP="00F47F2A">
            <w:pPr>
              <w:spacing w:after="0" w:line="240" w:lineRule="auto"/>
              <w:rPr>
                <w:rFonts w:ascii="Calibri" w:eastAsia="Times New Roman" w:hAnsi="Calibri" w:cs="Calibri"/>
                <w:b/>
                <w:bCs/>
                <w:kern w:val="0"/>
                <w:sz w:val="24"/>
                <w:szCs w:val="24"/>
              </w:rPr>
            </w:pPr>
            <w:r w:rsidRPr="00D44E13">
              <w:rPr>
                <w:rFonts w:ascii="Calibri" w:eastAsia="Times New Roman" w:hAnsi="Calibri" w:cs="Calibri"/>
                <w:b/>
                <w:bCs/>
                <w:kern w:val="0"/>
                <w:sz w:val="24"/>
                <w:szCs w:val="24"/>
              </w:rPr>
              <w:t> </w:t>
            </w:r>
          </w:p>
        </w:tc>
        <w:tc>
          <w:tcPr>
            <w:tcW w:w="960" w:type="dxa"/>
            <w:tcBorders>
              <w:top w:val="nil"/>
              <w:left w:val="nil"/>
              <w:bottom w:val="single" w:sz="8" w:space="0" w:color="auto"/>
              <w:right w:val="single" w:sz="8" w:space="0" w:color="auto"/>
            </w:tcBorders>
            <w:shd w:val="clear" w:color="auto" w:fill="auto"/>
            <w:vAlign w:val="center"/>
            <w:hideMark/>
          </w:tcPr>
          <w:p w14:paraId="2E14F15F"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 </w:t>
            </w:r>
          </w:p>
        </w:tc>
      </w:tr>
      <w:tr w:rsidR="000F1022" w:rsidRPr="00D44E13" w14:paraId="254FD17C" w14:textId="77777777" w:rsidTr="00F47F2A">
        <w:trPr>
          <w:trHeight w:val="289"/>
        </w:trPr>
        <w:tc>
          <w:tcPr>
            <w:tcW w:w="5420" w:type="dxa"/>
            <w:tcBorders>
              <w:top w:val="nil"/>
              <w:left w:val="single" w:sz="8" w:space="0" w:color="auto"/>
              <w:bottom w:val="single" w:sz="8" w:space="0" w:color="auto"/>
              <w:right w:val="nil"/>
            </w:tcBorders>
            <w:shd w:val="clear" w:color="000000" w:fill="E2EFDA"/>
            <w:vAlign w:val="center"/>
            <w:hideMark/>
          </w:tcPr>
          <w:p w14:paraId="6BF84C59" w14:textId="77777777" w:rsidR="000F1022" w:rsidRPr="00D44E13" w:rsidRDefault="000F1022" w:rsidP="00F47F2A">
            <w:pPr>
              <w:spacing w:after="0" w:line="240" w:lineRule="auto"/>
              <w:rPr>
                <w:rFonts w:ascii="Calibri" w:eastAsia="Times New Roman" w:hAnsi="Calibri" w:cs="Calibri"/>
                <w:b/>
                <w:bCs/>
                <w:kern w:val="0"/>
              </w:rPr>
            </w:pPr>
            <w:r w:rsidRPr="00D44E13">
              <w:rPr>
                <w:rFonts w:ascii="Calibri" w:eastAsia="Times New Roman" w:hAnsi="Calibri" w:cs="Calibri"/>
                <w:b/>
                <w:bCs/>
                <w:kern w:val="0"/>
              </w:rPr>
              <w:t xml:space="preserve">Technical / </w:t>
            </w:r>
            <w:proofErr w:type="gramStart"/>
            <w:r w:rsidRPr="00D44E13">
              <w:rPr>
                <w:rFonts w:ascii="Calibri" w:eastAsia="Times New Roman" w:hAnsi="Calibri" w:cs="Calibri"/>
                <w:b/>
                <w:bCs/>
                <w:kern w:val="0"/>
              </w:rPr>
              <w:t>Sophistication  (</w:t>
            </w:r>
            <w:proofErr w:type="gramEnd"/>
            <w:r w:rsidRPr="00D44E13">
              <w:rPr>
                <w:rFonts w:ascii="Calibri" w:eastAsia="Times New Roman" w:hAnsi="Calibri" w:cs="Calibri"/>
                <w:b/>
                <w:bCs/>
                <w:kern w:val="0"/>
              </w:rPr>
              <w:t xml:space="preserve">60 points)  </w:t>
            </w:r>
          </w:p>
        </w:tc>
        <w:tc>
          <w:tcPr>
            <w:tcW w:w="960" w:type="dxa"/>
            <w:tcBorders>
              <w:top w:val="nil"/>
              <w:left w:val="single" w:sz="8" w:space="0" w:color="auto"/>
              <w:bottom w:val="single" w:sz="8" w:space="0" w:color="auto"/>
              <w:right w:val="single" w:sz="8" w:space="0" w:color="auto"/>
            </w:tcBorders>
            <w:shd w:val="clear" w:color="000000" w:fill="E2EFDA"/>
            <w:noWrap/>
            <w:vAlign w:val="bottom"/>
            <w:hideMark/>
          </w:tcPr>
          <w:p w14:paraId="2F95EA72" w14:textId="77777777" w:rsidR="000F1022" w:rsidRPr="00D44E13" w:rsidRDefault="000F1022" w:rsidP="00F47F2A">
            <w:pPr>
              <w:spacing w:after="0" w:line="240" w:lineRule="auto"/>
              <w:jc w:val="center"/>
              <w:rPr>
                <w:rFonts w:ascii="Calibri" w:eastAsia="Times New Roman" w:hAnsi="Calibri" w:cs="Calibri"/>
                <w:b/>
                <w:bCs/>
                <w:color w:val="44546A"/>
                <w:kern w:val="0"/>
                <w:sz w:val="20"/>
                <w:szCs w:val="20"/>
              </w:rPr>
            </w:pPr>
            <w:r w:rsidRPr="00D44E13">
              <w:rPr>
                <w:rFonts w:ascii="Calibri" w:eastAsia="Times New Roman" w:hAnsi="Calibri" w:cs="Calibri"/>
                <w:b/>
                <w:bCs/>
                <w:color w:val="44546A"/>
                <w:kern w:val="0"/>
                <w:sz w:val="20"/>
                <w:szCs w:val="20"/>
              </w:rPr>
              <w:t>50</w:t>
            </w:r>
          </w:p>
        </w:tc>
      </w:tr>
      <w:tr w:rsidR="000F1022" w:rsidRPr="00D44E13" w14:paraId="7365E3E5" w14:textId="77777777" w:rsidTr="00F47F2A">
        <w:trPr>
          <w:trHeight w:val="300"/>
        </w:trPr>
        <w:tc>
          <w:tcPr>
            <w:tcW w:w="5420" w:type="dxa"/>
            <w:tcBorders>
              <w:top w:val="single" w:sz="4" w:space="0" w:color="auto"/>
              <w:left w:val="single" w:sz="8" w:space="0" w:color="auto"/>
              <w:bottom w:val="single" w:sz="4" w:space="0" w:color="auto"/>
              <w:right w:val="nil"/>
            </w:tcBorders>
            <w:shd w:val="clear" w:color="auto" w:fill="auto"/>
            <w:vAlign w:val="center"/>
            <w:hideMark/>
          </w:tcPr>
          <w:p w14:paraId="02245320"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xml:space="preserve">Past Relevant Study Experience </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6959445"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10</w:t>
            </w:r>
          </w:p>
        </w:tc>
      </w:tr>
      <w:tr w:rsidR="000F1022" w:rsidRPr="00D44E13" w14:paraId="4B83E247" w14:textId="77777777" w:rsidTr="00F47F2A">
        <w:trPr>
          <w:trHeight w:val="300"/>
        </w:trPr>
        <w:tc>
          <w:tcPr>
            <w:tcW w:w="5420" w:type="dxa"/>
            <w:tcBorders>
              <w:top w:val="nil"/>
              <w:left w:val="single" w:sz="8" w:space="0" w:color="auto"/>
              <w:bottom w:val="single" w:sz="4" w:space="0" w:color="auto"/>
              <w:right w:val="nil"/>
            </w:tcBorders>
            <w:shd w:val="clear" w:color="auto" w:fill="auto"/>
            <w:vAlign w:val="center"/>
            <w:hideMark/>
          </w:tcPr>
          <w:p w14:paraId="26E4CE51"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xml:space="preserve">Methanol Supply and Demand Forecast Methodology </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2CBB24C"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10</w:t>
            </w:r>
          </w:p>
        </w:tc>
      </w:tr>
      <w:tr w:rsidR="000F1022" w:rsidRPr="00D44E13" w14:paraId="20C9FADC" w14:textId="77777777" w:rsidTr="00F47F2A">
        <w:trPr>
          <w:trHeight w:val="300"/>
        </w:trPr>
        <w:tc>
          <w:tcPr>
            <w:tcW w:w="5420" w:type="dxa"/>
            <w:tcBorders>
              <w:top w:val="nil"/>
              <w:left w:val="single" w:sz="8" w:space="0" w:color="auto"/>
              <w:bottom w:val="nil"/>
              <w:right w:val="nil"/>
            </w:tcBorders>
            <w:shd w:val="clear" w:color="auto" w:fill="auto"/>
            <w:vAlign w:val="center"/>
            <w:hideMark/>
          </w:tcPr>
          <w:p w14:paraId="1D8CA160"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xml:space="preserve">Analytic Rigor </w:t>
            </w:r>
          </w:p>
        </w:tc>
        <w:tc>
          <w:tcPr>
            <w:tcW w:w="960" w:type="dxa"/>
            <w:tcBorders>
              <w:top w:val="nil"/>
              <w:left w:val="single" w:sz="8" w:space="0" w:color="auto"/>
              <w:bottom w:val="nil"/>
              <w:right w:val="single" w:sz="8" w:space="0" w:color="auto"/>
            </w:tcBorders>
            <w:shd w:val="clear" w:color="auto" w:fill="auto"/>
            <w:noWrap/>
            <w:vAlign w:val="bottom"/>
            <w:hideMark/>
          </w:tcPr>
          <w:p w14:paraId="3717A2B6"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10</w:t>
            </w:r>
          </w:p>
        </w:tc>
      </w:tr>
      <w:tr w:rsidR="000F1022" w:rsidRPr="00D44E13" w14:paraId="6DE947E4" w14:textId="77777777" w:rsidTr="00F47F2A">
        <w:trPr>
          <w:trHeight w:val="300"/>
        </w:trPr>
        <w:tc>
          <w:tcPr>
            <w:tcW w:w="5420" w:type="dxa"/>
            <w:tcBorders>
              <w:top w:val="single" w:sz="4" w:space="0" w:color="auto"/>
              <w:left w:val="single" w:sz="4" w:space="0" w:color="auto"/>
              <w:bottom w:val="single" w:sz="4" w:space="0" w:color="auto"/>
              <w:right w:val="nil"/>
            </w:tcBorders>
            <w:shd w:val="clear" w:color="auto" w:fill="auto"/>
            <w:vAlign w:val="center"/>
            <w:hideMark/>
          </w:tcPr>
          <w:p w14:paraId="7FA97C1F"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xml:space="preserve">PADD 1 Go </w:t>
            </w:r>
            <w:proofErr w:type="gramStart"/>
            <w:r w:rsidRPr="00D44E13">
              <w:rPr>
                <w:rFonts w:ascii="Calibri" w:eastAsia="Times New Roman" w:hAnsi="Calibri" w:cs="Calibri"/>
                <w:kern w:val="0"/>
                <w:sz w:val="20"/>
                <w:szCs w:val="20"/>
              </w:rPr>
              <w:t>To</w:t>
            </w:r>
            <w:proofErr w:type="gramEnd"/>
            <w:r w:rsidRPr="00D44E13">
              <w:rPr>
                <w:rFonts w:ascii="Calibri" w:eastAsia="Times New Roman" w:hAnsi="Calibri" w:cs="Calibri"/>
                <w:kern w:val="0"/>
                <w:sz w:val="20"/>
                <w:szCs w:val="20"/>
              </w:rPr>
              <w:t xml:space="preserve"> Market Approach </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0BA5ED"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10</w:t>
            </w:r>
          </w:p>
        </w:tc>
      </w:tr>
      <w:tr w:rsidR="000F1022" w:rsidRPr="00D44E13" w14:paraId="5B31D33A" w14:textId="77777777" w:rsidTr="00F47F2A">
        <w:trPr>
          <w:trHeight w:val="300"/>
        </w:trPr>
        <w:tc>
          <w:tcPr>
            <w:tcW w:w="5420" w:type="dxa"/>
            <w:tcBorders>
              <w:top w:val="nil"/>
              <w:left w:val="single" w:sz="4" w:space="0" w:color="auto"/>
              <w:bottom w:val="single" w:sz="4" w:space="0" w:color="auto"/>
              <w:right w:val="nil"/>
            </w:tcBorders>
            <w:shd w:val="clear" w:color="auto" w:fill="auto"/>
            <w:vAlign w:val="center"/>
            <w:hideMark/>
          </w:tcPr>
          <w:p w14:paraId="2977EB05"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xml:space="preserve">Technical Knowledge (Grey vs. Grey/Blue) </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87FD596"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10</w:t>
            </w:r>
          </w:p>
        </w:tc>
      </w:tr>
      <w:tr w:rsidR="000F1022" w:rsidRPr="00D44E13" w14:paraId="655D02F2" w14:textId="77777777" w:rsidTr="00F47F2A">
        <w:trPr>
          <w:trHeight w:val="300"/>
        </w:trPr>
        <w:tc>
          <w:tcPr>
            <w:tcW w:w="5420" w:type="dxa"/>
            <w:tcBorders>
              <w:top w:val="nil"/>
              <w:left w:val="nil"/>
              <w:bottom w:val="single" w:sz="4" w:space="0" w:color="auto"/>
              <w:right w:val="nil"/>
            </w:tcBorders>
            <w:shd w:val="clear" w:color="auto" w:fill="auto"/>
            <w:vAlign w:val="center"/>
            <w:hideMark/>
          </w:tcPr>
          <w:p w14:paraId="21813C1A"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5EB77BA"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 xml:space="preserve"> </w:t>
            </w:r>
          </w:p>
        </w:tc>
      </w:tr>
      <w:tr w:rsidR="000F1022" w:rsidRPr="00D44E13" w14:paraId="3C963AE1" w14:textId="77777777" w:rsidTr="00F47F2A">
        <w:trPr>
          <w:trHeight w:val="315"/>
        </w:trPr>
        <w:tc>
          <w:tcPr>
            <w:tcW w:w="5420" w:type="dxa"/>
            <w:tcBorders>
              <w:top w:val="nil"/>
              <w:left w:val="nil"/>
              <w:bottom w:val="nil"/>
              <w:right w:val="nil"/>
            </w:tcBorders>
            <w:shd w:val="clear" w:color="auto" w:fill="auto"/>
            <w:vAlign w:val="center"/>
            <w:hideMark/>
          </w:tcPr>
          <w:p w14:paraId="3C46D8CD"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w:t>
            </w:r>
          </w:p>
        </w:tc>
        <w:tc>
          <w:tcPr>
            <w:tcW w:w="960" w:type="dxa"/>
            <w:tcBorders>
              <w:top w:val="nil"/>
              <w:left w:val="single" w:sz="8" w:space="0" w:color="auto"/>
              <w:bottom w:val="nil"/>
              <w:right w:val="single" w:sz="8" w:space="0" w:color="auto"/>
            </w:tcBorders>
            <w:shd w:val="clear" w:color="auto" w:fill="auto"/>
            <w:noWrap/>
            <w:vAlign w:val="bottom"/>
            <w:hideMark/>
          </w:tcPr>
          <w:p w14:paraId="04F816FA"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 </w:t>
            </w:r>
          </w:p>
        </w:tc>
      </w:tr>
      <w:tr w:rsidR="000F1022" w:rsidRPr="00D44E13" w14:paraId="4D29175F" w14:textId="77777777" w:rsidTr="00F47F2A">
        <w:trPr>
          <w:trHeight w:val="289"/>
        </w:trPr>
        <w:tc>
          <w:tcPr>
            <w:tcW w:w="5420" w:type="dxa"/>
            <w:tcBorders>
              <w:top w:val="single" w:sz="8" w:space="0" w:color="auto"/>
              <w:left w:val="single" w:sz="8" w:space="0" w:color="auto"/>
              <w:bottom w:val="single" w:sz="8" w:space="0" w:color="auto"/>
              <w:right w:val="nil"/>
            </w:tcBorders>
            <w:shd w:val="clear" w:color="000000" w:fill="FCE4D6"/>
            <w:vAlign w:val="center"/>
            <w:hideMark/>
          </w:tcPr>
          <w:p w14:paraId="6A5D9D35" w14:textId="77777777" w:rsidR="000F1022" w:rsidRPr="00D44E13" w:rsidRDefault="000F1022" w:rsidP="00F47F2A">
            <w:pPr>
              <w:spacing w:after="0" w:line="240" w:lineRule="auto"/>
              <w:rPr>
                <w:rFonts w:ascii="Calibri" w:eastAsia="Times New Roman" w:hAnsi="Calibri" w:cs="Calibri"/>
                <w:b/>
                <w:bCs/>
                <w:kern w:val="0"/>
              </w:rPr>
            </w:pPr>
            <w:r w:rsidRPr="00D44E13">
              <w:rPr>
                <w:rFonts w:ascii="Calibri" w:eastAsia="Times New Roman" w:hAnsi="Calibri" w:cs="Calibri"/>
                <w:b/>
                <w:bCs/>
                <w:kern w:val="0"/>
              </w:rPr>
              <w:t>Execution (30 Points)</w:t>
            </w:r>
          </w:p>
        </w:tc>
        <w:tc>
          <w:tcPr>
            <w:tcW w:w="960"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2464E16F" w14:textId="77777777" w:rsidR="000F1022" w:rsidRPr="00D44E13" w:rsidRDefault="000F1022" w:rsidP="00F47F2A">
            <w:pPr>
              <w:spacing w:after="0" w:line="240" w:lineRule="auto"/>
              <w:jc w:val="center"/>
              <w:rPr>
                <w:rFonts w:ascii="Calibri" w:eastAsia="Times New Roman" w:hAnsi="Calibri" w:cs="Calibri"/>
                <w:b/>
                <w:bCs/>
                <w:color w:val="44546A"/>
                <w:kern w:val="0"/>
                <w:sz w:val="20"/>
                <w:szCs w:val="20"/>
              </w:rPr>
            </w:pPr>
            <w:r w:rsidRPr="00D44E13">
              <w:rPr>
                <w:rFonts w:ascii="Calibri" w:eastAsia="Times New Roman" w:hAnsi="Calibri" w:cs="Calibri"/>
                <w:b/>
                <w:bCs/>
                <w:color w:val="44546A"/>
                <w:kern w:val="0"/>
                <w:sz w:val="20"/>
                <w:szCs w:val="20"/>
              </w:rPr>
              <w:t>40</w:t>
            </w:r>
          </w:p>
        </w:tc>
      </w:tr>
      <w:tr w:rsidR="000F1022" w:rsidRPr="00D44E13" w14:paraId="52D0DDF9" w14:textId="77777777" w:rsidTr="00F47F2A">
        <w:trPr>
          <w:trHeight w:val="300"/>
        </w:trPr>
        <w:tc>
          <w:tcPr>
            <w:tcW w:w="5420" w:type="dxa"/>
            <w:tcBorders>
              <w:top w:val="nil"/>
              <w:left w:val="single" w:sz="8" w:space="0" w:color="auto"/>
              <w:bottom w:val="single" w:sz="4" w:space="0" w:color="auto"/>
              <w:right w:val="nil"/>
            </w:tcBorders>
            <w:shd w:val="clear" w:color="auto" w:fill="auto"/>
            <w:vAlign w:val="center"/>
            <w:hideMark/>
          </w:tcPr>
          <w:p w14:paraId="3C726C42"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Time required</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CAFE42A"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5</w:t>
            </w:r>
          </w:p>
        </w:tc>
      </w:tr>
      <w:tr w:rsidR="000F1022" w:rsidRPr="00D44E13" w14:paraId="088F37B1" w14:textId="77777777" w:rsidTr="00F47F2A">
        <w:trPr>
          <w:trHeight w:val="300"/>
        </w:trPr>
        <w:tc>
          <w:tcPr>
            <w:tcW w:w="5420" w:type="dxa"/>
            <w:tcBorders>
              <w:top w:val="nil"/>
              <w:left w:val="single" w:sz="8" w:space="0" w:color="auto"/>
              <w:bottom w:val="single" w:sz="4" w:space="0" w:color="auto"/>
              <w:right w:val="nil"/>
            </w:tcBorders>
            <w:shd w:val="clear" w:color="auto" w:fill="auto"/>
            <w:vAlign w:val="center"/>
            <w:hideMark/>
          </w:tcPr>
          <w:p w14:paraId="31E07492"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Project Schedule Quality</w:t>
            </w:r>
          </w:p>
        </w:tc>
        <w:tc>
          <w:tcPr>
            <w:tcW w:w="960" w:type="dxa"/>
            <w:tcBorders>
              <w:top w:val="nil"/>
              <w:left w:val="single" w:sz="8" w:space="0" w:color="auto"/>
              <w:bottom w:val="nil"/>
              <w:right w:val="single" w:sz="8" w:space="0" w:color="auto"/>
            </w:tcBorders>
            <w:shd w:val="clear" w:color="auto" w:fill="auto"/>
            <w:noWrap/>
            <w:vAlign w:val="bottom"/>
            <w:hideMark/>
          </w:tcPr>
          <w:p w14:paraId="0AE4DA16"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5</w:t>
            </w:r>
          </w:p>
        </w:tc>
      </w:tr>
      <w:tr w:rsidR="000F1022" w:rsidRPr="00D44E13" w14:paraId="5744F3C6" w14:textId="77777777" w:rsidTr="00F47F2A">
        <w:trPr>
          <w:trHeight w:val="300"/>
        </w:trPr>
        <w:tc>
          <w:tcPr>
            <w:tcW w:w="5420" w:type="dxa"/>
            <w:tcBorders>
              <w:top w:val="nil"/>
              <w:left w:val="single" w:sz="4" w:space="0" w:color="auto"/>
              <w:bottom w:val="single" w:sz="4" w:space="0" w:color="auto"/>
              <w:right w:val="nil"/>
            </w:tcBorders>
            <w:shd w:val="clear" w:color="auto" w:fill="auto"/>
            <w:vAlign w:val="center"/>
            <w:hideMark/>
          </w:tcPr>
          <w:p w14:paraId="79582F87"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Comprehensiveness and depth of Proposal</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7245104"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15</w:t>
            </w:r>
          </w:p>
        </w:tc>
      </w:tr>
      <w:tr w:rsidR="000F1022" w:rsidRPr="00D44E13" w14:paraId="1512A9CA" w14:textId="77777777" w:rsidTr="00F47F2A">
        <w:trPr>
          <w:trHeight w:val="315"/>
        </w:trPr>
        <w:tc>
          <w:tcPr>
            <w:tcW w:w="5420" w:type="dxa"/>
            <w:tcBorders>
              <w:top w:val="nil"/>
              <w:left w:val="single" w:sz="8" w:space="0" w:color="auto"/>
              <w:bottom w:val="single" w:sz="4" w:space="0" w:color="auto"/>
              <w:right w:val="nil"/>
            </w:tcBorders>
            <w:shd w:val="clear" w:color="auto" w:fill="auto"/>
            <w:vAlign w:val="center"/>
            <w:hideMark/>
          </w:tcPr>
          <w:p w14:paraId="0B48CD4C"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Team Lead and Supporting Team Expertise</w:t>
            </w:r>
          </w:p>
        </w:tc>
        <w:tc>
          <w:tcPr>
            <w:tcW w:w="960" w:type="dxa"/>
            <w:tcBorders>
              <w:top w:val="nil"/>
              <w:left w:val="single" w:sz="8" w:space="0" w:color="auto"/>
              <w:bottom w:val="nil"/>
              <w:right w:val="single" w:sz="8" w:space="0" w:color="auto"/>
            </w:tcBorders>
            <w:shd w:val="clear" w:color="auto" w:fill="auto"/>
            <w:noWrap/>
            <w:vAlign w:val="bottom"/>
            <w:hideMark/>
          </w:tcPr>
          <w:p w14:paraId="02F89256"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15</w:t>
            </w:r>
          </w:p>
        </w:tc>
      </w:tr>
      <w:tr w:rsidR="000F1022" w:rsidRPr="00D44E13" w14:paraId="77468006" w14:textId="77777777" w:rsidTr="00F47F2A">
        <w:trPr>
          <w:trHeight w:val="315"/>
        </w:trPr>
        <w:tc>
          <w:tcPr>
            <w:tcW w:w="5420" w:type="dxa"/>
            <w:tcBorders>
              <w:top w:val="single" w:sz="8" w:space="0" w:color="auto"/>
              <w:left w:val="single" w:sz="8" w:space="0" w:color="auto"/>
              <w:bottom w:val="single" w:sz="8" w:space="0" w:color="auto"/>
              <w:right w:val="nil"/>
            </w:tcBorders>
            <w:shd w:val="clear" w:color="000000" w:fill="EDEDED"/>
            <w:vAlign w:val="center"/>
            <w:hideMark/>
          </w:tcPr>
          <w:p w14:paraId="080854E0" w14:textId="77777777" w:rsidR="000F1022" w:rsidRPr="00D44E13" w:rsidRDefault="000F1022" w:rsidP="00F47F2A">
            <w:pPr>
              <w:spacing w:after="0" w:line="240" w:lineRule="auto"/>
              <w:rPr>
                <w:rFonts w:ascii="Calibri" w:eastAsia="Times New Roman" w:hAnsi="Calibri" w:cs="Calibri"/>
                <w:b/>
                <w:bCs/>
                <w:kern w:val="0"/>
              </w:rPr>
            </w:pPr>
            <w:r w:rsidRPr="00D44E13">
              <w:rPr>
                <w:rFonts w:ascii="Calibri" w:eastAsia="Times New Roman" w:hAnsi="Calibri" w:cs="Calibri"/>
                <w:b/>
                <w:bCs/>
                <w:kern w:val="0"/>
              </w:rPr>
              <w:t xml:space="preserve">Commercial (10 </w:t>
            </w:r>
            <w:proofErr w:type="gramStart"/>
            <w:r w:rsidRPr="00D44E13">
              <w:rPr>
                <w:rFonts w:ascii="Calibri" w:eastAsia="Times New Roman" w:hAnsi="Calibri" w:cs="Calibri"/>
                <w:b/>
                <w:bCs/>
                <w:kern w:val="0"/>
              </w:rPr>
              <w:t>points )</w:t>
            </w:r>
            <w:proofErr w:type="gramEnd"/>
            <w:r w:rsidRPr="00D44E13">
              <w:rPr>
                <w:rFonts w:ascii="Calibri" w:eastAsia="Times New Roman" w:hAnsi="Calibri" w:cs="Calibri"/>
                <w:b/>
                <w:bCs/>
                <w:kern w:val="0"/>
              </w:rPr>
              <w:t xml:space="preserve">    </w:t>
            </w:r>
          </w:p>
        </w:tc>
        <w:tc>
          <w:tcPr>
            <w:tcW w:w="960" w:type="dxa"/>
            <w:tcBorders>
              <w:top w:val="single" w:sz="8" w:space="0" w:color="auto"/>
              <w:left w:val="single" w:sz="8" w:space="0" w:color="auto"/>
              <w:bottom w:val="single" w:sz="8" w:space="0" w:color="auto"/>
              <w:right w:val="single" w:sz="8" w:space="0" w:color="auto"/>
            </w:tcBorders>
            <w:shd w:val="clear" w:color="000000" w:fill="EDEDED"/>
            <w:noWrap/>
            <w:vAlign w:val="bottom"/>
            <w:hideMark/>
          </w:tcPr>
          <w:p w14:paraId="42ACB91E" w14:textId="77777777" w:rsidR="000F1022" w:rsidRPr="00D44E13" w:rsidRDefault="000F1022" w:rsidP="00F47F2A">
            <w:pPr>
              <w:spacing w:after="0" w:line="240" w:lineRule="auto"/>
              <w:jc w:val="center"/>
              <w:rPr>
                <w:rFonts w:ascii="Calibri" w:eastAsia="Times New Roman" w:hAnsi="Calibri" w:cs="Calibri"/>
                <w:b/>
                <w:bCs/>
                <w:color w:val="0033CC"/>
                <w:kern w:val="0"/>
                <w:sz w:val="20"/>
                <w:szCs w:val="20"/>
              </w:rPr>
            </w:pPr>
            <w:r w:rsidRPr="00D44E13">
              <w:rPr>
                <w:rFonts w:ascii="Calibri" w:eastAsia="Times New Roman" w:hAnsi="Calibri" w:cs="Calibri"/>
                <w:b/>
                <w:bCs/>
                <w:color w:val="0033CC"/>
                <w:kern w:val="0"/>
                <w:sz w:val="20"/>
                <w:szCs w:val="20"/>
              </w:rPr>
              <w:t>10</w:t>
            </w:r>
          </w:p>
        </w:tc>
      </w:tr>
      <w:tr w:rsidR="000F1022" w:rsidRPr="00D44E13" w14:paraId="1C86330F" w14:textId="77777777" w:rsidTr="00F47F2A">
        <w:trPr>
          <w:trHeight w:val="300"/>
        </w:trPr>
        <w:tc>
          <w:tcPr>
            <w:tcW w:w="5420" w:type="dxa"/>
            <w:tcBorders>
              <w:top w:val="nil"/>
              <w:left w:val="single" w:sz="8" w:space="0" w:color="auto"/>
              <w:bottom w:val="single" w:sz="4" w:space="0" w:color="auto"/>
              <w:right w:val="nil"/>
            </w:tcBorders>
            <w:shd w:val="clear" w:color="auto" w:fill="auto"/>
            <w:vAlign w:val="center"/>
            <w:hideMark/>
          </w:tcPr>
          <w:p w14:paraId="66AA54FF"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Flat Rate</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F8BAD5A"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7</w:t>
            </w:r>
          </w:p>
        </w:tc>
      </w:tr>
      <w:tr w:rsidR="000F1022" w:rsidRPr="00D44E13" w14:paraId="6EDCEACE" w14:textId="77777777" w:rsidTr="00F47F2A">
        <w:trPr>
          <w:trHeight w:val="300"/>
        </w:trPr>
        <w:tc>
          <w:tcPr>
            <w:tcW w:w="5420" w:type="dxa"/>
            <w:tcBorders>
              <w:top w:val="nil"/>
              <w:left w:val="single" w:sz="8" w:space="0" w:color="auto"/>
              <w:bottom w:val="single" w:sz="4" w:space="0" w:color="auto"/>
              <w:right w:val="nil"/>
            </w:tcBorders>
            <w:shd w:val="clear" w:color="auto" w:fill="auto"/>
            <w:vAlign w:val="center"/>
            <w:hideMark/>
          </w:tcPr>
          <w:p w14:paraId="6361865C"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Contract Exceptions</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F6C754E"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3</w:t>
            </w:r>
          </w:p>
        </w:tc>
      </w:tr>
      <w:tr w:rsidR="000F1022" w:rsidRPr="00D44E13" w14:paraId="728F039F" w14:textId="77777777" w:rsidTr="00F47F2A">
        <w:trPr>
          <w:trHeight w:val="315"/>
        </w:trPr>
        <w:tc>
          <w:tcPr>
            <w:tcW w:w="5420" w:type="dxa"/>
            <w:tcBorders>
              <w:top w:val="nil"/>
              <w:left w:val="single" w:sz="8" w:space="0" w:color="auto"/>
              <w:bottom w:val="single" w:sz="8" w:space="0" w:color="auto"/>
              <w:right w:val="nil"/>
            </w:tcBorders>
            <w:shd w:val="clear" w:color="auto" w:fill="auto"/>
            <w:vAlign w:val="center"/>
            <w:hideMark/>
          </w:tcPr>
          <w:p w14:paraId="2C28C6E4" w14:textId="77777777" w:rsidR="000F1022" w:rsidRPr="00D44E13" w:rsidRDefault="000F1022" w:rsidP="00F47F2A">
            <w:pPr>
              <w:spacing w:after="0" w:line="240" w:lineRule="auto"/>
              <w:rPr>
                <w:rFonts w:ascii="Calibri" w:eastAsia="Times New Roman" w:hAnsi="Calibri" w:cs="Calibri"/>
                <w:kern w:val="0"/>
                <w:sz w:val="20"/>
                <w:szCs w:val="20"/>
              </w:rPr>
            </w:pPr>
            <w:r w:rsidRPr="00D44E13">
              <w:rPr>
                <w:rFonts w:ascii="Calibri" w:eastAsia="Times New Roman" w:hAnsi="Calibri" w:cs="Calibri"/>
                <w:kern w:val="0"/>
                <w:sz w:val="20"/>
                <w:szCs w:val="20"/>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362DB97" w14:textId="77777777" w:rsidR="000F1022" w:rsidRPr="00D44E13" w:rsidRDefault="000F1022" w:rsidP="00F47F2A">
            <w:pPr>
              <w:spacing w:after="0" w:line="240" w:lineRule="auto"/>
              <w:jc w:val="center"/>
              <w:rPr>
                <w:rFonts w:ascii="Calibri" w:eastAsia="Times New Roman" w:hAnsi="Calibri" w:cs="Calibri"/>
                <w:b/>
                <w:bCs/>
                <w:kern w:val="0"/>
                <w:sz w:val="20"/>
                <w:szCs w:val="20"/>
              </w:rPr>
            </w:pPr>
            <w:r w:rsidRPr="00D44E13">
              <w:rPr>
                <w:rFonts w:ascii="Calibri" w:eastAsia="Times New Roman" w:hAnsi="Calibri" w:cs="Calibri"/>
                <w:b/>
                <w:bCs/>
                <w:kern w:val="0"/>
                <w:sz w:val="20"/>
                <w:szCs w:val="20"/>
              </w:rPr>
              <w:t> </w:t>
            </w:r>
          </w:p>
        </w:tc>
      </w:tr>
      <w:tr w:rsidR="000F1022" w:rsidRPr="00D44E13" w14:paraId="1D1EFB9A" w14:textId="77777777" w:rsidTr="00F47F2A">
        <w:trPr>
          <w:trHeight w:val="390"/>
        </w:trPr>
        <w:tc>
          <w:tcPr>
            <w:tcW w:w="5420" w:type="dxa"/>
            <w:tcBorders>
              <w:top w:val="nil"/>
              <w:left w:val="single" w:sz="8" w:space="0" w:color="auto"/>
              <w:bottom w:val="single" w:sz="8" w:space="0" w:color="auto"/>
              <w:right w:val="nil"/>
            </w:tcBorders>
            <w:shd w:val="clear" w:color="000000" w:fill="D9E1F2"/>
            <w:vAlign w:val="center"/>
            <w:hideMark/>
          </w:tcPr>
          <w:p w14:paraId="738AEDCF" w14:textId="77777777" w:rsidR="000F1022" w:rsidRPr="00D44E13" w:rsidRDefault="000F1022" w:rsidP="00F47F2A">
            <w:pPr>
              <w:spacing w:after="0" w:line="240" w:lineRule="auto"/>
              <w:rPr>
                <w:rFonts w:ascii="Calibri" w:eastAsia="Times New Roman" w:hAnsi="Calibri" w:cs="Calibri"/>
                <w:b/>
                <w:bCs/>
                <w:kern w:val="0"/>
                <w:sz w:val="28"/>
                <w:szCs w:val="28"/>
              </w:rPr>
            </w:pPr>
            <w:r w:rsidRPr="00D44E13">
              <w:rPr>
                <w:rFonts w:ascii="Calibri" w:eastAsia="Times New Roman" w:hAnsi="Calibri" w:cs="Calibri"/>
                <w:b/>
                <w:bCs/>
                <w:kern w:val="0"/>
                <w:sz w:val="28"/>
                <w:szCs w:val="28"/>
              </w:rPr>
              <w:t>Totals</w:t>
            </w:r>
          </w:p>
        </w:tc>
        <w:tc>
          <w:tcPr>
            <w:tcW w:w="960" w:type="dxa"/>
            <w:tcBorders>
              <w:top w:val="nil"/>
              <w:left w:val="single" w:sz="8" w:space="0" w:color="auto"/>
              <w:bottom w:val="single" w:sz="8" w:space="0" w:color="auto"/>
              <w:right w:val="single" w:sz="8" w:space="0" w:color="auto"/>
            </w:tcBorders>
            <w:shd w:val="clear" w:color="000000" w:fill="D9E1F2"/>
            <w:vAlign w:val="center"/>
            <w:hideMark/>
          </w:tcPr>
          <w:p w14:paraId="33D21290" w14:textId="77777777" w:rsidR="000F1022" w:rsidRPr="00D44E13" w:rsidRDefault="000F1022" w:rsidP="00F47F2A">
            <w:pPr>
              <w:spacing w:after="0" w:line="240" w:lineRule="auto"/>
              <w:jc w:val="center"/>
              <w:rPr>
                <w:rFonts w:ascii="Calibri" w:eastAsia="Times New Roman" w:hAnsi="Calibri" w:cs="Calibri"/>
                <w:b/>
                <w:bCs/>
                <w:kern w:val="0"/>
                <w:sz w:val="28"/>
                <w:szCs w:val="28"/>
              </w:rPr>
            </w:pPr>
            <w:r w:rsidRPr="00D44E13">
              <w:rPr>
                <w:rFonts w:ascii="Calibri" w:eastAsia="Times New Roman" w:hAnsi="Calibri" w:cs="Calibri"/>
                <w:b/>
                <w:bCs/>
                <w:kern w:val="0"/>
                <w:sz w:val="28"/>
                <w:szCs w:val="28"/>
              </w:rPr>
              <w:t>100</w:t>
            </w:r>
          </w:p>
        </w:tc>
      </w:tr>
    </w:tbl>
    <w:p w14:paraId="48A6FBE4" w14:textId="77777777" w:rsidR="000F1022" w:rsidRPr="00D44E13" w:rsidRDefault="000F1022" w:rsidP="000F1022">
      <w:pPr>
        <w:pStyle w:val="Default"/>
      </w:pPr>
    </w:p>
    <w:p w14:paraId="491A3577" w14:textId="77777777" w:rsidR="000F1022" w:rsidRDefault="000F1022" w:rsidP="000F1022">
      <w:pPr>
        <w:pStyle w:val="CM18"/>
        <w:spacing w:after="225" w:line="231" w:lineRule="atLeast"/>
        <w:rPr>
          <w:b/>
          <w:bCs/>
          <w:color w:val="000000"/>
          <w:sz w:val="20"/>
          <w:szCs w:val="20"/>
        </w:rPr>
      </w:pPr>
    </w:p>
    <w:p w14:paraId="681416D4" w14:textId="77777777" w:rsidR="002974E5" w:rsidRPr="00BE33FF" w:rsidRDefault="002974E5" w:rsidP="002974E5">
      <w:pPr>
        <w:pStyle w:val="Default"/>
        <w:rPr>
          <w:b/>
          <w:bCs/>
        </w:rPr>
      </w:pPr>
      <w:r w:rsidRPr="00BE33FF">
        <w:rPr>
          <w:b/>
          <w:bCs/>
        </w:rPr>
        <w:t>Other Bid Conditions:</w:t>
      </w:r>
    </w:p>
    <w:p w14:paraId="65BC9F7A" w14:textId="77777777" w:rsidR="002974E5" w:rsidRPr="00BE33FF" w:rsidRDefault="002974E5" w:rsidP="002974E5">
      <w:pPr>
        <w:pStyle w:val="Default"/>
      </w:pPr>
    </w:p>
    <w:p w14:paraId="103EEAB5" w14:textId="77777777" w:rsidR="002974E5" w:rsidRDefault="002974E5" w:rsidP="002974E5">
      <w:pPr>
        <w:pStyle w:val="CM18"/>
        <w:spacing w:after="225" w:line="231" w:lineRule="atLeast"/>
        <w:rPr>
          <w:color w:val="000000"/>
          <w:sz w:val="20"/>
          <w:szCs w:val="20"/>
        </w:rPr>
      </w:pPr>
      <w:r>
        <w:rPr>
          <w:b/>
          <w:bCs/>
          <w:color w:val="000000"/>
          <w:sz w:val="20"/>
          <w:szCs w:val="20"/>
        </w:rPr>
        <w:t xml:space="preserve">1.0 PBF MACH2 Holdings LLC Code of Conduct </w:t>
      </w:r>
    </w:p>
    <w:p w14:paraId="58BEDDFF" w14:textId="77777777" w:rsidR="002974E5" w:rsidRDefault="002974E5" w:rsidP="002974E5">
      <w:pPr>
        <w:pStyle w:val="Default"/>
        <w:spacing w:line="231" w:lineRule="atLeast"/>
        <w:rPr>
          <w:sz w:val="20"/>
          <w:szCs w:val="20"/>
        </w:rPr>
      </w:pPr>
      <w:r>
        <w:rPr>
          <w:sz w:val="20"/>
          <w:szCs w:val="20"/>
        </w:rPr>
        <w:t xml:space="preserve">Company maintains a Supplier Code Conduct (“Code”), which may be updated from time to time at Company’s sole discretion, and which shall be followed by all persons contracting with Company, that can be obtained by following the links on Company’s website </w:t>
      </w:r>
      <w:hyperlink r:id="rId9" w:history="1">
        <w:r>
          <w:rPr>
            <w:rFonts w:ascii="Times New Roman" w:hAnsi="Times New Roman" w:cs="Times New Roman"/>
            <w:color w:val="0000FF"/>
            <w:sz w:val="20"/>
            <w:szCs w:val="20"/>
            <w:u w:val="single"/>
          </w:rPr>
          <w:t xml:space="preserve">https://investors.pbfenergy.com/corporate-governance/corporate-governance-documents. </w:t>
        </w:r>
      </w:hyperlink>
      <w:r>
        <w:rPr>
          <w:sz w:val="20"/>
          <w:szCs w:val="20"/>
        </w:rPr>
        <w:t xml:space="preserve">All Company employees, and all persons contracting with Company, are also required to comply with the PBF MACH2 Holdings </w:t>
      </w:r>
      <w:proofErr w:type="gramStart"/>
      <w:r>
        <w:rPr>
          <w:sz w:val="20"/>
          <w:szCs w:val="20"/>
        </w:rPr>
        <w:t>LLC  code</w:t>
      </w:r>
      <w:proofErr w:type="gramEnd"/>
      <w:r>
        <w:rPr>
          <w:sz w:val="20"/>
          <w:szCs w:val="20"/>
        </w:rPr>
        <w:t xml:space="preserve"> of business conduct and ethics, including in all of their activities with customers, vendors, contractors, and other third parties. </w:t>
      </w:r>
    </w:p>
    <w:p w14:paraId="2D575AFA" w14:textId="77777777" w:rsidR="002974E5" w:rsidRDefault="002974E5" w:rsidP="002974E5">
      <w:pPr>
        <w:pStyle w:val="Default"/>
        <w:spacing w:line="231" w:lineRule="atLeast"/>
        <w:rPr>
          <w:sz w:val="20"/>
          <w:szCs w:val="20"/>
        </w:rPr>
      </w:pPr>
    </w:p>
    <w:p w14:paraId="0B49EC69" w14:textId="77777777" w:rsidR="002974E5" w:rsidRDefault="002974E5" w:rsidP="002974E5">
      <w:pPr>
        <w:pStyle w:val="Default"/>
        <w:spacing w:line="231" w:lineRule="atLeast"/>
        <w:rPr>
          <w:sz w:val="20"/>
          <w:szCs w:val="20"/>
        </w:rPr>
      </w:pPr>
    </w:p>
    <w:p w14:paraId="2DFF257A" w14:textId="77777777" w:rsidR="002974E5" w:rsidRPr="00076484" w:rsidRDefault="002974E5" w:rsidP="002974E5">
      <w:pPr>
        <w:pStyle w:val="Default"/>
        <w:spacing w:line="231" w:lineRule="atLeast"/>
        <w:rPr>
          <w:b/>
          <w:bCs/>
        </w:rPr>
      </w:pPr>
      <w:r>
        <w:rPr>
          <w:b/>
          <w:bCs/>
          <w:sz w:val="20"/>
          <w:szCs w:val="20"/>
        </w:rPr>
        <w:t>2</w:t>
      </w:r>
      <w:r w:rsidRPr="00076484">
        <w:rPr>
          <w:b/>
          <w:bCs/>
          <w:sz w:val="20"/>
          <w:szCs w:val="20"/>
        </w:rPr>
        <w:t>.0</w:t>
      </w:r>
      <w:r w:rsidRPr="00076484">
        <w:t xml:space="preserve"> </w:t>
      </w:r>
      <w:r w:rsidRPr="00076484">
        <w:rPr>
          <w:b/>
          <w:bCs/>
          <w:sz w:val="20"/>
          <w:szCs w:val="20"/>
        </w:rPr>
        <w:t>Annual Representations and Certifications (Jan 2025)</w:t>
      </w:r>
    </w:p>
    <w:p w14:paraId="304D8F0A" w14:textId="77777777" w:rsidR="002974E5" w:rsidRDefault="002974E5" w:rsidP="002974E5">
      <w:pPr>
        <w:pStyle w:val="CM18"/>
        <w:spacing w:after="225" w:line="231" w:lineRule="atLeast"/>
      </w:pPr>
    </w:p>
    <w:p w14:paraId="2A7544AE" w14:textId="77777777" w:rsidR="002974E5" w:rsidRDefault="002974E5" w:rsidP="002974E5">
      <w:pPr>
        <w:pStyle w:val="Default"/>
      </w:pPr>
      <w:r>
        <w:t xml:space="preserve">(a) </w:t>
      </w:r>
    </w:p>
    <w:p w14:paraId="6FD89D13" w14:textId="77777777" w:rsidR="002974E5" w:rsidRDefault="002974E5" w:rsidP="002974E5">
      <w:pPr>
        <w:pStyle w:val="Default"/>
      </w:pPr>
      <w:r>
        <w:lastRenderedPageBreak/>
        <w:t>(1) The North American Industry Classification System (NAICS) code for this acquisition is</w:t>
      </w:r>
      <w:r w:rsidRPr="00076484">
        <w:t xml:space="preserve"> </w:t>
      </w:r>
      <w:r w:rsidRPr="00715162">
        <w:t>541611</w:t>
      </w:r>
      <w:r>
        <w:t>.</w:t>
      </w:r>
    </w:p>
    <w:p w14:paraId="640EE83F" w14:textId="77777777" w:rsidR="002974E5" w:rsidRDefault="002974E5" w:rsidP="002974E5">
      <w:pPr>
        <w:pStyle w:val="Default"/>
      </w:pPr>
      <w:r>
        <w:t xml:space="preserve">(2) The small business size standard is </w:t>
      </w:r>
      <w:r w:rsidRPr="00715162">
        <w:t>$24.5</w:t>
      </w:r>
      <w:r>
        <w:t>(In Millions of dollars).</w:t>
      </w:r>
    </w:p>
    <w:p w14:paraId="2AF0ACF4" w14:textId="77777777" w:rsidR="002974E5" w:rsidRDefault="002974E5" w:rsidP="002974E5">
      <w:pPr>
        <w:pStyle w:val="Default"/>
      </w:pPr>
      <w:r>
        <w:t>(3) The small business size standard for a concern that submits an offer, other than on a construction or service acquisition, but proposes to furnish an end item that it did not itself manufacture, process, or produce is 500 employees, or 150 employees for information technology value-added resellers under NAICS code 541519 if the acquisition—</w:t>
      </w:r>
    </w:p>
    <w:p w14:paraId="6E27CDFA" w14:textId="77777777" w:rsidR="002974E5" w:rsidRDefault="002974E5" w:rsidP="002974E5">
      <w:pPr>
        <w:pStyle w:val="Default"/>
      </w:pPr>
      <w:r>
        <w:t>(</w:t>
      </w:r>
      <w:proofErr w:type="spellStart"/>
      <w:r>
        <w:t>i</w:t>
      </w:r>
      <w:proofErr w:type="spellEnd"/>
      <w:r>
        <w:t xml:space="preserve">) Is set aside for small business and has a value above the simplified acquisition </w:t>
      </w:r>
      <w:proofErr w:type="gramStart"/>
      <w:r>
        <w:t>threshold;</w:t>
      </w:r>
      <w:proofErr w:type="gramEnd"/>
    </w:p>
    <w:p w14:paraId="0815D8A6" w14:textId="77777777" w:rsidR="002974E5" w:rsidRDefault="002974E5" w:rsidP="002974E5">
      <w:pPr>
        <w:pStyle w:val="Default"/>
      </w:pPr>
      <w:r>
        <w:t>(ii) Uses the HUBZone price evaluation preference regardless of dollar value, unless the offeror waives the price evaluation preference; or</w:t>
      </w:r>
    </w:p>
    <w:p w14:paraId="49251047" w14:textId="77777777" w:rsidR="002974E5" w:rsidRDefault="002974E5" w:rsidP="002974E5">
      <w:pPr>
        <w:pStyle w:val="Default"/>
      </w:pPr>
      <w:r>
        <w:t>(iii) Is an 8(a), HUBZone, service-disabled veteran-owned, economically disadvantaged women-owned, or women-owned small business set-aside or sole-source award regardless of dollar value.</w:t>
      </w:r>
    </w:p>
    <w:p w14:paraId="2DEE4192" w14:textId="77777777" w:rsidR="002974E5" w:rsidRDefault="002974E5" w:rsidP="002974E5">
      <w:pPr>
        <w:pStyle w:val="Default"/>
      </w:pPr>
      <w:r>
        <w:t xml:space="preserve">(b) </w:t>
      </w:r>
    </w:p>
    <w:p w14:paraId="28564659" w14:textId="77777777" w:rsidR="002974E5" w:rsidRDefault="002974E5" w:rsidP="002974E5">
      <w:pPr>
        <w:pStyle w:val="Default"/>
      </w:pPr>
      <w:r>
        <w:t>(1) If the provision at 52.204-7, System for Award Management, is included in this solicitation, paragraph (d) of this provision applies.</w:t>
      </w:r>
    </w:p>
    <w:p w14:paraId="10D582AD" w14:textId="77777777" w:rsidR="002974E5" w:rsidRDefault="002974E5" w:rsidP="002974E5">
      <w:pPr>
        <w:pStyle w:val="Default"/>
      </w:pPr>
      <w: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6A02DF1E" w14:textId="77777777" w:rsidR="002974E5" w:rsidRDefault="002974E5" w:rsidP="002974E5">
      <w:pPr>
        <w:pStyle w:val="Default"/>
      </w:pPr>
      <w:r>
        <w:t>(</w:t>
      </w:r>
      <w:proofErr w:type="spellStart"/>
      <w:r>
        <w:t>i</w:t>
      </w:r>
      <w:proofErr w:type="spellEnd"/>
      <w:r>
        <w:t>) □ Paragraph (d) applies.</w:t>
      </w:r>
    </w:p>
    <w:p w14:paraId="0B366B8D" w14:textId="77777777" w:rsidR="002974E5" w:rsidRDefault="002974E5" w:rsidP="002974E5">
      <w:pPr>
        <w:pStyle w:val="Default"/>
      </w:pPr>
      <w:r>
        <w:t xml:space="preserve">(ii) □ Paragraph (d) does not </w:t>
      </w:r>
      <w:proofErr w:type="gramStart"/>
      <w:r>
        <w:t>apply</w:t>
      </w:r>
      <w:proofErr w:type="gramEnd"/>
      <w:r>
        <w:t xml:space="preserve"> and the offeror has completed the individual representations and certifications in the solicitation.</w:t>
      </w:r>
    </w:p>
    <w:p w14:paraId="41C8B80B" w14:textId="77777777" w:rsidR="002974E5" w:rsidRDefault="002974E5" w:rsidP="002974E5">
      <w:pPr>
        <w:pStyle w:val="Default"/>
      </w:pPr>
      <w:r>
        <w:t xml:space="preserve">(c) </w:t>
      </w:r>
    </w:p>
    <w:p w14:paraId="4C496433" w14:textId="77777777" w:rsidR="002974E5" w:rsidRDefault="002974E5" w:rsidP="002974E5">
      <w:pPr>
        <w:pStyle w:val="Default"/>
      </w:pPr>
      <w:r>
        <w:t>(1) The following representations or certifications in SAM are applicable to this solicitation as indicated:</w:t>
      </w:r>
    </w:p>
    <w:p w14:paraId="3695C913" w14:textId="77777777" w:rsidR="002974E5" w:rsidRDefault="002974E5" w:rsidP="002974E5">
      <w:pPr>
        <w:pStyle w:val="Default"/>
      </w:pPr>
      <w:r>
        <w:t>(</w:t>
      </w:r>
      <w:proofErr w:type="spellStart"/>
      <w:r>
        <w:t>i</w:t>
      </w:r>
      <w:proofErr w:type="spellEnd"/>
      <w:r>
        <w:t>) 52.203-2, Certificate of Independent Price Determination. This provision applies to solicitations when a firm-fixed-price contract or fixed-price contract with economic price adjustment is contemplated, unless–</w:t>
      </w:r>
    </w:p>
    <w:p w14:paraId="2B4FC1DC" w14:textId="77777777" w:rsidR="002974E5" w:rsidRDefault="002974E5" w:rsidP="002974E5">
      <w:pPr>
        <w:pStyle w:val="Default"/>
      </w:pPr>
      <w:r>
        <w:t xml:space="preserve">(A) The acquisition is to be made under the simplified acquisition procedures in </w:t>
      </w:r>
      <w:proofErr w:type="gramStart"/>
      <w:r>
        <w:t>part  13</w:t>
      </w:r>
      <w:proofErr w:type="gramEnd"/>
      <w:r>
        <w:t>;</w:t>
      </w:r>
    </w:p>
    <w:p w14:paraId="2DCCD43D" w14:textId="77777777" w:rsidR="002974E5" w:rsidRDefault="002974E5" w:rsidP="002974E5">
      <w:pPr>
        <w:pStyle w:val="Default"/>
      </w:pPr>
      <w:r>
        <w:t>(B) The solicitation is a request for technical proposals under two-step sealed bidding procedures; or</w:t>
      </w:r>
    </w:p>
    <w:p w14:paraId="25F6EE4C" w14:textId="77777777" w:rsidR="002974E5" w:rsidRDefault="002974E5" w:rsidP="002974E5">
      <w:pPr>
        <w:pStyle w:val="Default"/>
      </w:pPr>
      <w:r>
        <w:t>(C) The solicitation is for utility services for which rates are set by law or regulation.</w:t>
      </w:r>
    </w:p>
    <w:p w14:paraId="0D208DB0" w14:textId="77777777" w:rsidR="002974E5" w:rsidRDefault="002974E5" w:rsidP="002974E5">
      <w:pPr>
        <w:pStyle w:val="Default"/>
      </w:pPr>
      <w:r>
        <w:t>(ii) 52.203-11, Certification and Disclosure Regarding Payments to Influence Certain Federal Transactions. This provision applies to solicitations expected to exceed $150,000.</w:t>
      </w:r>
    </w:p>
    <w:p w14:paraId="34E855A1" w14:textId="77777777" w:rsidR="002974E5" w:rsidRDefault="002974E5" w:rsidP="002974E5">
      <w:pPr>
        <w:pStyle w:val="Default"/>
      </w:pPr>
      <w:r>
        <w:t>(iii) 52.203-18, Prohibition on Contracting with Entities that Require Certain Internal Confidentiality Agreements or Statements-Representation. This provision applies to all solicitations.</w:t>
      </w:r>
    </w:p>
    <w:p w14:paraId="5029E046" w14:textId="77777777" w:rsidR="002974E5" w:rsidRDefault="002974E5" w:rsidP="002974E5">
      <w:pPr>
        <w:pStyle w:val="Default"/>
      </w:pPr>
      <w:r>
        <w:t>(iv) 52.204-3, Taxpayer Identification. This provision applies to solicitations that do not include the provision at 52.204-7, System for Award Management.</w:t>
      </w:r>
    </w:p>
    <w:p w14:paraId="718DAEA6" w14:textId="77777777" w:rsidR="002974E5" w:rsidRDefault="002974E5" w:rsidP="002974E5">
      <w:pPr>
        <w:pStyle w:val="Default"/>
      </w:pPr>
      <w:r>
        <w:t>(v) 52.204-5, Women-Owned Business (Other Than Small Business). This provision applies to solicitations that-</w:t>
      </w:r>
    </w:p>
    <w:p w14:paraId="6372129C" w14:textId="77777777" w:rsidR="002974E5" w:rsidRDefault="002974E5" w:rsidP="002974E5">
      <w:pPr>
        <w:pStyle w:val="Default"/>
      </w:pPr>
      <w:r>
        <w:lastRenderedPageBreak/>
        <w:t xml:space="preserve">(A) Are not set aside for small business </w:t>
      </w:r>
      <w:proofErr w:type="gramStart"/>
      <w:r>
        <w:t>concerns;</w:t>
      </w:r>
      <w:proofErr w:type="gramEnd"/>
    </w:p>
    <w:p w14:paraId="2A40D1B3" w14:textId="77777777" w:rsidR="002974E5" w:rsidRDefault="002974E5" w:rsidP="002974E5">
      <w:pPr>
        <w:pStyle w:val="Default"/>
      </w:pPr>
      <w:r>
        <w:t>(B) Exceed the simplified acquisition threshold; and</w:t>
      </w:r>
    </w:p>
    <w:p w14:paraId="13B99081" w14:textId="77777777" w:rsidR="002974E5" w:rsidRDefault="002974E5" w:rsidP="002974E5">
      <w:pPr>
        <w:pStyle w:val="Default"/>
      </w:pPr>
      <w:r>
        <w:t>(C) Are for contracts that will be performed in the United States or its outlying areas.</w:t>
      </w:r>
    </w:p>
    <w:p w14:paraId="50E95B7C" w14:textId="77777777" w:rsidR="002974E5" w:rsidRDefault="002974E5" w:rsidP="002974E5">
      <w:pPr>
        <w:pStyle w:val="Default"/>
      </w:pPr>
      <w:r>
        <w:t>(vi) 52.204-26, Covered Telecommunications Equipment or Services-Representation. This provision applies to all solicitations.</w:t>
      </w:r>
    </w:p>
    <w:p w14:paraId="23678DD9" w14:textId="77777777" w:rsidR="002974E5" w:rsidRDefault="002974E5" w:rsidP="002974E5">
      <w:pPr>
        <w:pStyle w:val="Default"/>
      </w:pPr>
      <w:r>
        <w:t>(vii) 52.209-2, Prohibition on Contracting with Inverted Domestic Corporations-Representation.</w:t>
      </w:r>
    </w:p>
    <w:p w14:paraId="56B98397" w14:textId="77777777" w:rsidR="002974E5" w:rsidRDefault="002974E5" w:rsidP="002974E5">
      <w:pPr>
        <w:pStyle w:val="Default"/>
      </w:pPr>
      <w:r>
        <w:t>(viii) 52.209-5, Certification Regarding Responsibility Matters. This provision applies to solicitations where the contract value is expected to exceed the simplified acquisition threshold.</w:t>
      </w:r>
    </w:p>
    <w:p w14:paraId="25FA15D1" w14:textId="77777777" w:rsidR="002974E5" w:rsidRDefault="002974E5" w:rsidP="002974E5">
      <w:pPr>
        <w:pStyle w:val="Default"/>
      </w:pPr>
      <w:r>
        <w:t>(ix) 52.209-11, Representation by Corporations Regarding Delinquent Tax Liability or a Felony Conviction under any Federal Law. This provision applies to all solicitations.</w:t>
      </w:r>
    </w:p>
    <w:p w14:paraId="0623C43A" w14:textId="77777777" w:rsidR="002974E5" w:rsidRDefault="002974E5" w:rsidP="002974E5">
      <w:pPr>
        <w:pStyle w:val="Default"/>
      </w:pPr>
      <w:r>
        <w:t>(x) 52.214-14, Place of Performance-Sealed Bidding. This provision applies to invitations for bids except those in which the place of performance is specified by the Government.</w:t>
      </w:r>
    </w:p>
    <w:p w14:paraId="252B9B9F" w14:textId="77777777" w:rsidR="002974E5" w:rsidRDefault="002974E5" w:rsidP="002974E5">
      <w:pPr>
        <w:pStyle w:val="Default"/>
      </w:pPr>
      <w:r>
        <w:t>(xi) 52.215-6, Place of Performance. This provision applies to solicitations unless the place of performance is specified by the Government.</w:t>
      </w:r>
    </w:p>
    <w:p w14:paraId="14FDDF3B" w14:textId="77777777" w:rsidR="002974E5" w:rsidRDefault="002974E5" w:rsidP="002974E5">
      <w:pPr>
        <w:pStyle w:val="Default"/>
      </w:pPr>
      <w:r>
        <w:t xml:space="preserve">(xii)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w:t>
      </w:r>
      <w:proofErr w:type="gramStart"/>
      <w:r>
        <w:t>part  19</w:t>
      </w:r>
      <w:proofErr w:type="gramEnd"/>
      <w:r>
        <w:t xml:space="preserve"> in accordance with 19.000(b)(1)(ii).</w:t>
      </w:r>
    </w:p>
    <w:p w14:paraId="6A69A450" w14:textId="77777777" w:rsidR="002974E5" w:rsidRDefault="002974E5" w:rsidP="002974E5">
      <w:pPr>
        <w:pStyle w:val="Default"/>
      </w:pPr>
      <w:r>
        <w:t>(A) The basic provision applies when the solicitations are issued by other than DoD, NASA, and the Coast Guard.</w:t>
      </w:r>
    </w:p>
    <w:p w14:paraId="71D16EA5" w14:textId="77777777" w:rsidR="002974E5" w:rsidRDefault="002974E5" w:rsidP="002974E5">
      <w:pPr>
        <w:pStyle w:val="Default"/>
      </w:pPr>
      <w:r>
        <w:t>(B) The provision with its Alternate I applies to solicitations issued by DoD, NASA, or the Coast Guard.</w:t>
      </w:r>
    </w:p>
    <w:p w14:paraId="0A8EAB21" w14:textId="77777777" w:rsidR="002974E5" w:rsidRDefault="002974E5" w:rsidP="002974E5">
      <w:pPr>
        <w:pStyle w:val="Default"/>
      </w:pPr>
      <w:r>
        <w:t>(C) The provision with its Alternate II applies to solicitations that will result in a multiple-award contract with more than one NAICS code assigned.</w:t>
      </w:r>
    </w:p>
    <w:p w14:paraId="1E47B5C8" w14:textId="77777777" w:rsidR="002974E5" w:rsidRDefault="002974E5" w:rsidP="002974E5">
      <w:pPr>
        <w:pStyle w:val="Default"/>
      </w:pPr>
      <w:r>
        <w:t xml:space="preserve">(xiii) 52.219-2, Equal Low Bids. This provision applies to solicitations when contracting by sealed bidding and the contract is for supplies to be delivered or services to be performed in the United States or its outlying areas, or when the contracting officer has applied </w:t>
      </w:r>
      <w:proofErr w:type="gramStart"/>
      <w:r>
        <w:t>part  19</w:t>
      </w:r>
      <w:proofErr w:type="gramEnd"/>
      <w:r>
        <w:t xml:space="preserve"> in accordance with 19.000(b)(1)(ii).</w:t>
      </w:r>
    </w:p>
    <w:p w14:paraId="40157440" w14:textId="77777777" w:rsidR="002974E5" w:rsidRDefault="002974E5" w:rsidP="002974E5">
      <w:pPr>
        <w:pStyle w:val="Default"/>
      </w:pPr>
      <w:r>
        <w:t>(xiv) 52.222-22, Previous Contracts and Compliance Reports. This provision applies to solicitations that include the clause at 52.222-26, Equal Opportunity.</w:t>
      </w:r>
    </w:p>
    <w:p w14:paraId="121996BE" w14:textId="77777777" w:rsidR="002974E5" w:rsidRDefault="002974E5" w:rsidP="002974E5">
      <w:pPr>
        <w:pStyle w:val="Default"/>
      </w:pPr>
      <w:r>
        <w:t>(xv) 52.222-25, Affirmative Action Compliance. This provision applies to solicitations, other than those for construction, when the solicitation includes the clause at 52.222-26, Equal Opportunity.</w:t>
      </w:r>
    </w:p>
    <w:p w14:paraId="7AB8A22E" w14:textId="77777777" w:rsidR="002974E5" w:rsidRDefault="002974E5" w:rsidP="002974E5">
      <w:pPr>
        <w:pStyle w:val="Default"/>
      </w:pPr>
      <w:r>
        <w:t>(xvi)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1832B088" w14:textId="77777777" w:rsidR="002974E5" w:rsidRDefault="002974E5" w:rsidP="002974E5">
      <w:pPr>
        <w:pStyle w:val="Default"/>
      </w:pPr>
      <w:r>
        <w:t>(xvii) 52.223-1, Biobased Product Certification. This provision applies to solicitations that require the delivery or specify the use of biobased products in USDA-designated product categories; or include the clause at 52.223-2, Reporting of Biobased Products Under Service and Construction Contracts.</w:t>
      </w:r>
    </w:p>
    <w:p w14:paraId="6BAB0195" w14:textId="77777777" w:rsidR="002974E5" w:rsidRDefault="002974E5" w:rsidP="002974E5">
      <w:pPr>
        <w:pStyle w:val="Default"/>
      </w:pPr>
      <w:r>
        <w:t>(xviii) 52.223-4, Recovered Material Certification. This provision applies to solicitations that are for, or specify the use of, EPA–designated items.</w:t>
      </w:r>
    </w:p>
    <w:p w14:paraId="1A68A977" w14:textId="77777777" w:rsidR="002974E5" w:rsidRDefault="002974E5" w:rsidP="002974E5">
      <w:pPr>
        <w:pStyle w:val="Default"/>
      </w:pPr>
      <w:r>
        <w:t xml:space="preserve">(xix) 52.223-22, Public Disclosure of Greenhouse Gas Emissions and Reduction Goals-Representation. This provision applies to solicitations that include the provision at </w:t>
      </w:r>
      <w:r>
        <w:lastRenderedPageBreak/>
        <w:t>52.204-7.</w:t>
      </w:r>
    </w:p>
    <w:p w14:paraId="3C3A0948" w14:textId="77777777" w:rsidR="002974E5" w:rsidRDefault="002974E5" w:rsidP="002974E5">
      <w:pPr>
        <w:pStyle w:val="Default"/>
      </w:pPr>
      <w:r>
        <w:t>(xx) 52.225-2, Buy American Certificate. This provision applies to solicitations containing the clause at 52.225-1.</w:t>
      </w:r>
    </w:p>
    <w:p w14:paraId="1982DAD6" w14:textId="77777777" w:rsidR="002974E5" w:rsidRDefault="002974E5" w:rsidP="002974E5">
      <w:pPr>
        <w:pStyle w:val="Default"/>
      </w:pPr>
      <w:r>
        <w:t>(xxi) 52.225-4, Buy American-Free Trade Agreements-Israeli Trade Act Certificate. (Basic, Alternates II and III.) This provision applies to solicitations containing the clause at 52.225-3.</w:t>
      </w:r>
    </w:p>
    <w:p w14:paraId="4C1208C0" w14:textId="77777777" w:rsidR="002974E5" w:rsidRDefault="002974E5" w:rsidP="002974E5">
      <w:pPr>
        <w:pStyle w:val="Default"/>
      </w:pPr>
      <w:r>
        <w:t>(A) If the acquisition value is less than $50,000, the basic provision applies.</w:t>
      </w:r>
    </w:p>
    <w:p w14:paraId="6AE692C0" w14:textId="77777777" w:rsidR="002974E5" w:rsidRDefault="002974E5" w:rsidP="002974E5">
      <w:pPr>
        <w:pStyle w:val="Default"/>
      </w:pPr>
      <w:r>
        <w:t>(B) If the acquisition value is $50,000 or more but is less than $100,000, the provision with its Alternate II applies.</w:t>
      </w:r>
    </w:p>
    <w:p w14:paraId="2A98CA42" w14:textId="77777777" w:rsidR="002974E5" w:rsidRDefault="002974E5" w:rsidP="002974E5">
      <w:pPr>
        <w:pStyle w:val="Default"/>
      </w:pPr>
      <w:r>
        <w:t>(C) If the acquisition value is $100,000 or more but is less than $102,280, the provision with its Alternate III applies.</w:t>
      </w:r>
    </w:p>
    <w:p w14:paraId="42941F37" w14:textId="77777777" w:rsidR="002974E5" w:rsidRDefault="002974E5" w:rsidP="002974E5">
      <w:pPr>
        <w:pStyle w:val="Default"/>
      </w:pPr>
      <w:r>
        <w:t>(xxii) 52.225-6, Trade Agreements Certificate. This provision applies to solicitations containing the clause at 52.225-5.</w:t>
      </w:r>
    </w:p>
    <w:p w14:paraId="477E67A2" w14:textId="77777777" w:rsidR="002974E5" w:rsidRDefault="002974E5" w:rsidP="002974E5">
      <w:pPr>
        <w:pStyle w:val="Default"/>
      </w:pPr>
      <w:r>
        <w:t>(xxiii) 52.225-20, Prohibition on Conducting Restricted Business Operations in Sudan-Certification. This provision applies to all solicitations.</w:t>
      </w:r>
    </w:p>
    <w:p w14:paraId="575A85D8" w14:textId="77777777" w:rsidR="002974E5" w:rsidRDefault="002974E5" w:rsidP="002974E5">
      <w:pPr>
        <w:pStyle w:val="Default"/>
      </w:pPr>
      <w:r>
        <w:t>(xxiv) 52.225-25, Prohibition on Contracting with Entities Engaging in Certain Activities or Transactions Relating to Iran-Representation and Certifications. This provision applies to all solicitations.</w:t>
      </w:r>
    </w:p>
    <w:p w14:paraId="46CDA10F" w14:textId="77777777" w:rsidR="002974E5" w:rsidRDefault="002974E5" w:rsidP="002974E5">
      <w:pPr>
        <w:pStyle w:val="Default"/>
      </w:pPr>
      <w:r>
        <w:t>(xxv) 52.226-2, Historically Black College or University and Minority Institution Representation. This provision applies to solicitations for research, studies, supplies, or services of the type normally acquired from higher educational institutions.</w:t>
      </w:r>
    </w:p>
    <w:p w14:paraId="59A8A460" w14:textId="77777777" w:rsidR="002974E5" w:rsidRDefault="002974E5" w:rsidP="002974E5">
      <w:pPr>
        <w:pStyle w:val="Default"/>
      </w:pPr>
      <w:r>
        <w:t>(2) The following representations or certifications are applicable as indicated by the Contracting Officer:</w:t>
      </w:r>
    </w:p>
    <w:p w14:paraId="35B6CE3E" w14:textId="77777777" w:rsidR="002974E5" w:rsidRDefault="002974E5" w:rsidP="002974E5">
      <w:pPr>
        <w:pStyle w:val="Default"/>
      </w:pPr>
      <w:r>
        <w:t>[Contracting Officer check as appropriate.]</w:t>
      </w:r>
    </w:p>
    <w:p w14:paraId="4112F26C" w14:textId="77777777" w:rsidR="002974E5" w:rsidRDefault="002974E5" w:rsidP="002974E5">
      <w:pPr>
        <w:pStyle w:val="Default"/>
      </w:pPr>
      <w:r>
        <w:t>__ (</w:t>
      </w:r>
      <w:proofErr w:type="spellStart"/>
      <w:r>
        <w:t>i</w:t>
      </w:r>
      <w:proofErr w:type="spellEnd"/>
      <w:r>
        <w:t>) 52.204-17, Ownership or Control of Offeror.</w:t>
      </w:r>
    </w:p>
    <w:p w14:paraId="0EEAE12B" w14:textId="77777777" w:rsidR="002974E5" w:rsidRDefault="002974E5" w:rsidP="002974E5">
      <w:pPr>
        <w:pStyle w:val="Default"/>
      </w:pPr>
      <w:r>
        <w:t>__ (ii) 52.204-20, Predecessor of Offeror.</w:t>
      </w:r>
    </w:p>
    <w:p w14:paraId="63CCF07B" w14:textId="77777777" w:rsidR="002974E5" w:rsidRDefault="002974E5" w:rsidP="002974E5">
      <w:pPr>
        <w:pStyle w:val="Default"/>
      </w:pPr>
      <w:r>
        <w:t>__ (iii) 52.222-18, Certification Regarding Knowledge of Child Labor for Listed End Products.</w:t>
      </w:r>
    </w:p>
    <w:p w14:paraId="483291EC" w14:textId="77777777" w:rsidR="002974E5" w:rsidRDefault="002974E5" w:rsidP="002974E5">
      <w:pPr>
        <w:pStyle w:val="Default"/>
      </w:pPr>
      <w:r>
        <w:t>__ (iv) 52.222-48, Exemption from Application of the Service Contract Labor Standards to Contracts for Maintenance, Calibration, or Repair of Certain Equipment- Certification.</w:t>
      </w:r>
    </w:p>
    <w:p w14:paraId="5714F282" w14:textId="77777777" w:rsidR="002974E5" w:rsidRDefault="002974E5" w:rsidP="002974E5">
      <w:pPr>
        <w:pStyle w:val="Default"/>
      </w:pPr>
      <w:r>
        <w:t>__ (v) 52.222-52, Exemption from Application of the Service Contract Labor Standards to Contracts for Certain Services-Certification.</w:t>
      </w:r>
    </w:p>
    <w:p w14:paraId="59A85505" w14:textId="77777777" w:rsidR="002974E5" w:rsidRDefault="002974E5" w:rsidP="002974E5">
      <w:pPr>
        <w:pStyle w:val="Default"/>
      </w:pPr>
      <w:r>
        <w:t>__ (vi) 52.227-6, Royalty Information.</w:t>
      </w:r>
    </w:p>
    <w:p w14:paraId="29D27AF5" w14:textId="77777777" w:rsidR="002974E5" w:rsidRDefault="002974E5" w:rsidP="002974E5">
      <w:pPr>
        <w:pStyle w:val="Default"/>
      </w:pPr>
      <w:r>
        <w:t>__ (A) Basic.</w:t>
      </w:r>
    </w:p>
    <w:p w14:paraId="0AC3D030" w14:textId="77777777" w:rsidR="002974E5" w:rsidRDefault="002974E5" w:rsidP="002974E5">
      <w:pPr>
        <w:pStyle w:val="Default"/>
      </w:pPr>
      <w:r>
        <w:t>__ (B) Alternate I.</w:t>
      </w:r>
    </w:p>
    <w:p w14:paraId="15168A58" w14:textId="77777777" w:rsidR="002974E5" w:rsidRDefault="002974E5" w:rsidP="002974E5">
      <w:pPr>
        <w:pStyle w:val="Default"/>
      </w:pPr>
      <w:r>
        <w:t>__ (vii) 52.227-15, Representation of Limited Rights Data and Restricted Computer Software.</w:t>
      </w:r>
    </w:p>
    <w:p w14:paraId="1CC621B2" w14:textId="77777777" w:rsidR="002974E5" w:rsidRDefault="002974E5" w:rsidP="002974E5">
      <w:pPr>
        <w:pStyle w:val="Default"/>
      </w:pPr>
      <w:r>
        <w:t xml:space="preserve">(d) The offeror has completed the annual representations and certifications electronically in SAM website accessed through https://www.sam.gov.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w:t>
      </w:r>
      <w:r>
        <w:lastRenderedPageBreak/>
        <w:t>current, accurate, and complete as of the date of this offer.</w:t>
      </w:r>
    </w:p>
    <w:p w14:paraId="78076754" w14:textId="77777777" w:rsidR="002974E5" w:rsidRDefault="002974E5" w:rsidP="002974E5">
      <w:pPr>
        <w:pStyle w:val="Default"/>
      </w:pPr>
      <w:r>
        <w:t>FAR Clause # Title Date Change</w:t>
      </w:r>
    </w:p>
    <w:p w14:paraId="4F13EE29" w14:textId="77777777" w:rsidR="002974E5" w:rsidRDefault="002974E5" w:rsidP="002974E5">
      <w:pPr>
        <w:pStyle w:val="Default"/>
      </w:pPr>
      <w:r>
        <w:t>________________________</w:t>
      </w:r>
    </w:p>
    <w:p w14:paraId="4AA4836B" w14:textId="77777777" w:rsidR="002974E5" w:rsidRDefault="002974E5" w:rsidP="002974E5">
      <w:pPr>
        <w:pStyle w:val="Default"/>
      </w:pPr>
      <w:r>
        <w:t>Any changes provided by the offeror are applicable to this solicitation only, and do not result in an update to the representations and certifications posted on SAM.</w:t>
      </w:r>
    </w:p>
    <w:p w14:paraId="2452889F" w14:textId="77777777" w:rsidR="002974E5" w:rsidRPr="00076484" w:rsidRDefault="002974E5" w:rsidP="002974E5">
      <w:pPr>
        <w:pStyle w:val="Default"/>
      </w:pPr>
      <w:r>
        <w:t>(End of provision)</w:t>
      </w:r>
    </w:p>
    <w:p w14:paraId="0D50130E" w14:textId="77777777" w:rsidR="002974E5" w:rsidRDefault="002974E5" w:rsidP="002974E5">
      <w:pPr>
        <w:pStyle w:val="Default"/>
        <w:spacing w:line="231" w:lineRule="atLeast"/>
      </w:pPr>
    </w:p>
    <w:p w14:paraId="53F7CB03" w14:textId="77777777" w:rsidR="002974E5" w:rsidRDefault="002974E5" w:rsidP="002974E5">
      <w:pPr>
        <w:pStyle w:val="Default"/>
        <w:spacing w:line="231" w:lineRule="atLeast"/>
        <w:rPr>
          <w:b/>
          <w:bCs/>
          <w:sz w:val="20"/>
          <w:szCs w:val="20"/>
        </w:rPr>
      </w:pPr>
      <w:r>
        <w:rPr>
          <w:b/>
          <w:bCs/>
          <w:sz w:val="20"/>
          <w:szCs w:val="20"/>
        </w:rPr>
        <w:t>3</w:t>
      </w:r>
      <w:r w:rsidRPr="00076484">
        <w:rPr>
          <w:b/>
          <w:bCs/>
          <w:sz w:val="20"/>
          <w:szCs w:val="20"/>
        </w:rPr>
        <w:t>.0</w:t>
      </w:r>
      <w:r w:rsidRPr="00076484">
        <w:t xml:space="preserve"> </w:t>
      </w:r>
      <w:r>
        <w:rPr>
          <w:b/>
          <w:bCs/>
          <w:sz w:val="20"/>
          <w:szCs w:val="20"/>
        </w:rPr>
        <w:t xml:space="preserve">Organizational Conflicts of </w:t>
      </w:r>
      <w:proofErr w:type="gramStart"/>
      <w:r>
        <w:rPr>
          <w:b/>
          <w:bCs/>
          <w:sz w:val="20"/>
          <w:szCs w:val="20"/>
        </w:rPr>
        <w:t>Interest(</w:t>
      </w:r>
      <w:proofErr w:type="gramEnd"/>
      <w:r>
        <w:rPr>
          <w:b/>
          <w:bCs/>
          <w:sz w:val="20"/>
          <w:szCs w:val="20"/>
        </w:rPr>
        <w:t>OCI)</w:t>
      </w:r>
    </w:p>
    <w:p w14:paraId="7C0FFE6F" w14:textId="77777777" w:rsidR="002974E5" w:rsidRDefault="002974E5" w:rsidP="002974E5">
      <w:pPr>
        <w:pStyle w:val="Default"/>
        <w:spacing w:line="231" w:lineRule="atLeast"/>
        <w:rPr>
          <w:b/>
          <w:bCs/>
          <w:sz w:val="20"/>
          <w:szCs w:val="20"/>
        </w:rPr>
      </w:pPr>
    </w:p>
    <w:p w14:paraId="64342481" w14:textId="77777777" w:rsidR="002974E5" w:rsidRDefault="002974E5" w:rsidP="002974E5">
      <w:pPr>
        <w:pStyle w:val="Default"/>
        <w:spacing w:line="231" w:lineRule="atLeast"/>
        <w:rPr>
          <w:b/>
          <w:bCs/>
          <w:sz w:val="20"/>
          <w:szCs w:val="20"/>
        </w:rPr>
      </w:pPr>
    </w:p>
    <w:p w14:paraId="3F6950B7" w14:textId="77777777" w:rsidR="002974E5" w:rsidRDefault="002974E5" w:rsidP="002974E5">
      <w:pPr>
        <w:pStyle w:val="Default"/>
        <w:spacing w:line="231" w:lineRule="atLeast"/>
        <w:rPr>
          <w:b/>
          <w:bCs/>
          <w:sz w:val="20"/>
          <w:szCs w:val="20"/>
        </w:rPr>
      </w:pPr>
      <w:r>
        <w:rPr>
          <w:b/>
          <w:bCs/>
          <w:sz w:val="20"/>
          <w:szCs w:val="20"/>
        </w:rPr>
        <w:t xml:space="preserve">Definition: </w:t>
      </w:r>
      <w:r w:rsidRPr="00BE33FF">
        <w:rPr>
          <w:b/>
          <w:bCs/>
          <w:sz w:val="20"/>
          <w:szCs w:val="20"/>
        </w:rPr>
        <w:t> "Organizational conflicts of interest (OCI) exist when, because of other activities or relationships with other persons, a prospective contractor is unable, or potentially unable, to render impartial, technically sound, and objective assistance or advice, or when the prospective contractor has an unfair competitive advantage"</w:t>
      </w:r>
    </w:p>
    <w:p w14:paraId="464A4CE1" w14:textId="77777777" w:rsidR="002974E5" w:rsidRDefault="002974E5" w:rsidP="002974E5">
      <w:pPr>
        <w:pStyle w:val="Default"/>
        <w:spacing w:line="231" w:lineRule="atLeast"/>
        <w:rPr>
          <w:b/>
          <w:bCs/>
          <w:sz w:val="20"/>
          <w:szCs w:val="20"/>
        </w:rPr>
      </w:pPr>
    </w:p>
    <w:p w14:paraId="2B7429C2" w14:textId="77777777" w:rsidR="002974E5" w:rsidRDefault="002974E5" w:rsidP="002974E5">
      <w:pPr>
        <w:pStyle w:val="Default"/>
        <w:spacing w:line="231" w:lineRule="atLeast"/>
        <w:rPr>
          <w:b/>
          <w:bCs/>
          <w:sz w:val="20"/>
          <w:szCs w:val="20"/>
        </w:rPr>
      </w:pPr>
      <w:r>
        <w:rPr>
          <w:b/>
          <w:bCs/>
          <w:sz w:val="20"/>
          <w:szCs w:val="20"/>
        </w:rPr>
        <w:t xml:space="preserve">Please see FAR Subpart 9.5 for more information </w:t>
      </w:r>
      <w:r w:rsidRPr="00BE33FF">
        <w:rPr>
          <w:b/>
          <w:bCs/>
          <w:sz w:val="20"/>
          <w:szCs w:val="20"/>
        </w:rPr>
        <w:t>https://www.acquisition.gov/far/subpart-9.5#FAR_9_506</w:t>
      </w:r>
    </w:p>
    <w:p w14:paraId="2272BF09" w14:textId="77777777" w:rsidR="002974E5" w:rsidRDefault="002974E5" w:rsidP="002974E5">
      <w:pPr>
        <w:pStyle w:val="Default"/>
        <w:spacing w:line="231" w:lineRule="atLeast"/>
        <w:rPr>
          <w:b/>
          <w:bCs/>
          <w:sz w:val="20"/>
          <w:szCs w:val="20"/>
        </w:rPr>
      </w:pPr>
    </w:p>
    <w:p w14:paraId="271781A8" w14:textId="77777777" w:rsidR="002974E5" w:rsidRDefault="002974E5" w:rsidP="002974E5">
      <w:pPr>
        <w:pStyle w:val="Default"/>
        <w:spacing w:line="231" w:lineRule="atLeast"/>
        <w:rPr>
          <w:b/>
          <w:bCs/>
          <w:sz w:val="20"/>
          <w:szCs w:val="20"/>
        </w:rPr>
      </w:pPr>
      <w:r>
        <w:rPr>
          <w:b/>
          <w:bCs/>
          <w:sz w:val="20"/>
          <w:szCs w:val="20"/>
        </w:rPr>
        <w:t xml:space="preserve">Supplier obligations concerning Organizational Conflicts of </w:t>
      </w:r>
      <w:proofErr w:type="gramStart"/>
      <w:r>
        <w:rPr>
          <w:b/>
          <w:bCs/>
          <w:sz w:val="20"/>
          <w:szCs w:val="20"/>
        </w:rPr>
        <w:t>Interest(</w:t>
      </w:r>
      <w:proofErr w:type="gramEnd"/>
      <w:r>
        <w:rPr>
          <w:b/>
          <w:bCs/>
          <w:sz w:val="20"/>
          <w:szCs w:val="20"/>
        </w:rPr>
        <w:t>OCI)</w:t>
      </w:r>
    </w:p>
    <w:p w14:paraId="4BD5C526" w14:textId="77777777" w:rsidR="002974E5" w:rsidRDefault="002974E5" w:rsidP="002974E5">
      <w:pPr>
        <w:pStyle w:val="Default"/>
        <w:spacing w:line="231" w:lineRule="atLeast"/>
        <w:rPr>
          <w:b/>
          <w:bCs/>
          <w:sz w:val="20"/>
          <w:szCs w:val="20"/>
        </w:rPr>
      </w:pPr>
    </w:p>
    <w:p w14:paraId="62F928B5" w14:textId="77777777" w:rsidR="002974E5" w:rsidRDefault="002974E5" w:rsidP="002974E5">
      <w:pPr>
        <w:pStyle w:val="Default"/>
        <w:numPr>
          <w:ilvl w:val="0"/>
          <w:numId w:val="20"/>
        </w:numPr>
        <w:spacing w:line="231" w:lineRule="atLeast"/>
        <w:rPr>
          <w:b/>
          <w:bCs/>
          <w:sz w:val="20"/>
          <w:szCs w:val="20"/>
        </w:rPr>
      </w:pPr>
      <w:r w:rsidRPr="00BE33FF">
        <w:rPr>
          <w:b/>
          <w:bCs/>
          <w:sz w:val="20"/>
          <w:szCs w:val="20"/>
        </w:rPr>
        <w:t xml:space="preserve">Mandatory </w:t>
      </w:r>
      <w:r>
        <w:rPr>
          <w:b/>
          <w:bCs/>
          <w:sz w:val="20"/>
          <w:szCs w:val="20"/>
        </w:rPr>
        <w:t>disclosure: Bidders must disclose any</w:t>
      </w:r>
      <w:r w:rsidRPr="00BE33FF">
        <w:rPr>
          <w:b/>
          <w:bCs/>
          <w:sz w:val="20"/>
          <w:szCs w:val="20"/>
        </w:rPr>
        <w:t xml:space="preserve"> information that could give rise to an OCI</w:t>
      </w:r>
      <w:r>
        <w:rPr>
          <w:b/>
          <w:bCs/>
          <w:sz w:val="20"/>
          <w:szCs w:val="20"/>
        </w:rPr>
        <w:t>. Disclosure must include:</w:t>
      </w:r>
    </w:p>
    <w:p w14:paraId="0B9B82CC" w14:textId="77777777" w:rsidR="002974E5" w:rsidRDefault="002974E5" w:rsidP="002974E5">
      <w:pPr>
        <w:pStyle w:val="Default"/>
        <w:numPr>
          <w:ilvl w:val="1"/>
          <w:numId w:val="20"/>
        </w:numPr>
        <w:spacing w:line="231" w:lineRule="atLeast"/>
        <w:rPr>
          <w:b/>
          <w:bCs/>
          <w:sz w:val="20"/>
          <w:szCs w:val="20"/>
        </w:rPr>
      </w:pPr>
      <w:r w:rsidRPr="00BE33FF">
        <w:rPr>
          <w:b/>
          <w:bCs/>
          <w:sz w:val="20"/>
          <w:szCs w:val="20"/>
        </w:rPr>
        <w:t>A description of past, present, or planned interests (financial, contractual, organizational, etc.).</w:t>
      </w:r>
    </w:p>
    <w:p w14:paraId="67F573D2" w14:textId="77777777" w:rsidR="002974E5" w:rsidRPr="00BE33FF" w:rsidRDefault="002974E5" w:rsidP="002974E5">
      <w:pPr>
        <w:pStyle w:val="ListParagraph"/>
        <w:numPr>
          <w:ilvl w:val="1"/>
          <w:numId w:val="20"/>
        </w:numPr>
        <w:rPr>
          <w:rFonts w:ascii="Arial" w:eastAsiaTheme="minorEastAsia" w:hAnsi="Arial" w:cs="Arial"/>
          <w:b/>
          <w:bCs/>
          <w:color w:val="000000"/>
          <w:sz w:val="20"/>
          <w:szCs w:val="20"/>
        </w:rPr>
      </w:pPr>
      <w:r w:rsidRPr="00BE33FF">
        <w:rPr>
          <w:rFonts w:ascii="Arial" w:eastAsiaTheme="minorEastAsia" w:hAnsi="Arial" w:cs="Arial"/>
          <w:b/>
          <w:bCs/>
          <w:color w:val="000000"/>
          <w:sz w:val="20"/>
          <w:szCs w:val="20"/>
        </w:rPr>
        <w:t xml:space="preserve">A description of the relationship, including the period of the relationship and the extent of the relationship (e.g., value of financial interest, total work). </w:t>
      </w:r>
    </w:p>
    <w:p w14:paraId="4E692378" w14:textId="77777777" w:rsidR="002974E5" w:rsidRDefault="002974E5" w:rsidP="002974E5">
      <w:pPr>
        <w:pStyle w:val="ListParagraph"/>
        <w:numPr>
          <w:ilvl w:val="1"/>
          <w:numId w:val="20"/>
        </w:numPr>
        <w:rPr>
          <w:rFonts w:ascii="Arial" w:eastAsiaTheme="minorEastAsia" w:hAnsi="Arial" w:cs="Arial"/>
          <w:b/>
          <w:bCs/>
          <w:color w:val="000000"/>
          <w:sz w:val="20"/>
          <w:szCs w:val="20"/>
        </w:rPr>
      </w:pPr>
      <w:r w:rsidRPr="00BE33FF">
        <w:rPr>
          <w:rFonts w:ascii="Arial" w:eastAsiaTheme="minorEastAsia" w:hAnsi="Arial" w:cs="Arial"/>
          <w:b/>
          <w:bCs/>
          <w:color w:val="000000"/>
          <w:sz w:val="20"/>
          <w:szCs w:val="20"/>
        </w:rPr>
        <w:t xml:space="preserve">The specific type of OCI (e.g., impaired objectivity, unequal access to information). </w:t>
      </w:r>
    </w:p>
    <w:p w14:paraId="328286D0" w14:textId="77777777" w:rsidR="002974E5" w:rsidRPr="00D47EB5" w:rsidRDefault="002974E5" w:rsidP="002974E5">
      <w:pPr>
        <w:pStyle w:val="ListParagraph"/>
        <w:numPr>
          <w:ilvl w:val="0"/>
          <w:numId w:val="20"/>
        </w:numPr>
        <w:rPr>
          <w:rFonts w:ascii="Arial" w:eastAsiaTheme="minorEastAsia" w:hAnsi="Arial" w:cs="Arial"/>
          <w:b/>
          <w:bCs/>
          <w:color w:val="000000"/>
          <w:sz w:val="20"/>
          <w:szCs w:val="20"/>
        </w:rPr>
      </w:pPr>
      <w:r w:rsidRPr="00D47EB5">
        <w:rPr>
          <w:rFonts w:ascii="Arial" w:eastAsiaTheme="minorEastAsia" w:hAnsi="Arial" w:cs="Arial"/>
          <w:b/>
          <w:bCs/>
          <w:color w:val="000000"/>
          <w:sz w:val="20"/>
          <w:szCs w:val="20"/>
        </w:rPr>
        <w:t>Mitigation plan:</w:t>
      </w:r>
    </w:p>
    <w:p w14:paraId="547AB9B2" w14:textId="77777777" w:rsidR="002974E5" w:rsidRPr="00D47EB5" w:rsidRDefault="002974E5" w:rsidP="002974E5">
      <w:pPr>
        <w:pStyle w:val="ListParagraph"/>
        <w:numPr>
          <w:ilvl w:val="1"/>
          <w:numId w:val="20"/>
        </w:numPr>
        <w:rPr>
          <w:rFonts w:ascii="Arial" w:eastAsiaTheme="minorEastAsia" w:hAnsi="Arial" w:cs="Arial"/>
          <w:b/>
          <w:bCs/>
          <w:color w:val="000000"/>
          <w:sz w:val="20"/>
          <w:szCs w:val="20"/>
        </w:rPr>
      </w:pPr>
      <w:r>
        <w:rPr>
          <w:rFonts w:ascii="Arial" w:eastAsiaTheme="minorEastAsia" w:hAnsi="Arial" w:cs="Arial"/>
          <w:b/>
          <w:bCs/>
          <w:color w:val="000000"/>
          <w:sz w:val="20"/>
          <w:szCs w:val="20"/>
        </w:rPr>
        <w:t>Bidders must</w:t>
      </w:r>
      <w:r w:rsidRPr="00D47EB5">
        <w:rPr>
          <w:rFonts w:ascii="Arial" w:eastAsiaTheme="minorEastAsia" w:hAnsi="Arial" w:cs="Arial"/>
          <w:b/>
          <w:bCs/>
          <w:color w:val="000000"/>
          <w:sz w:val="20"/>
          <w:szCs w:val="20"/>
        </w:rPr>
        <w:t xml:space="preserve"> submit an Organizational and Consultant Conflicts of Interest Plan (OCCIP) outlining how they will avoid, neutralize, or mitigate potential or actual OCIs. </w:t>
      </w:r>
    </w:p>
    <w:p w14:paraId="0332BD3B" w14:textId="77777777" w:rsidR="002974E5" w:rsidRDefault="002974E5" w:rsidP="002974E5">
      <w:pPr>
        <w:rPr>
          <w:rFonts w:ascii="Arial" w:hAnsi="Arial" w:cs="Arial"/>
          <w:b/>
          <w:bCs/>
          <w:color w:val="000000"/>
          <w:sz w:val="20"/>
          <w:szCs w:val="20"/>
        </w:rPr>
      </w:pPr>
    </w:p>
    <w:p w14:paraId="4C92328F" w14:textId="77777777" w:rsidR="002974E5" w:rsidRDefault="002974E5" w:rsidP="002974E5">
      <w:pPr>
        <w:rPr>
          <w:rFonts w:ascii="Arial" w:hAnsi="Arial" w:cs="Arial"/>
          <w:b/>
          <w:bCs/>
          <w:color w:val="000000"/>
          <w:sz w:val="20"/>
          <w:szCs w:val="20"/>
        </w:rPr>
      </w:pPr>
    </w:p>
    <w:p w14:paraId="1FAA85A6" w14:textId="77777777" w:rsidR="002974E5" w:rsidRPr="00D47EB5" w:rsidRDefault="002974E5" w:rsidP="002974E5">
      <w:pPr>
        <w:rPr>
          <w:rFonts w:ascii="Arial" w:hAnsi="Arial" w:cs="Arial"/>
          <w:b/>
          <w:bCs/>
          <w:color w:val="000000"/>
          <w:sz w:val="20"/>
          <w:szCs w:val="20"/>
        </w:rPr>
      </w:pPr>
      <w:r>
        <w:rPr>
          <w:rFonts w:ascii="Arial" w:hAnsi="Arial" w:cs="Arial"/>
          <w:b/>
          <w:bCs/>
          <w:color w:val="000000"/>
          <w:sz w:val="20"/>
          <w:szCs w:val="20"/>
        </w:rPr>
        <w:t xml:space="preserve">Any bidder that submits a proposal hereby </w:t>
      </w:r>
      <w:r w:rsidRPr="00D47EB5">
        <w:rPr>
          <w:rFonts w:ascii="Arial" w:hAnsi="Arial" w:cs="Arial"/>
          <w:b/>
          <w:bCs/>
          <w:color w:val="000000"/>
          <w:sz w:val="20"/>
          <w:szCs w:val="20"/>
        </w:rPr>
        <w:t>attests that, to the best of their knowledge, they have disclosed all relevant information regarding potential OCIs. </w:t>
      </w:r>
    </w:p>
    <w:p w14:paraId="3D1D0B61" w14:textId="60884D8D" w:rsidR="00076484" w:rsidRPr="00076484" w:rsidRDefault="00076484" w:rsidP="002974E5">
      <w:pPr>
        <w:pStyle w:val="CM18"/>
        <w:spacing w:after="225" w:line="231" w:lineRule="atLeast"/>
      </w:pPr>
    </w:p>
    <w:sectPr w:rsidR="00076484" w:rsidRPr="00076484" w:rsidSect="00787312">
      <w:headerReference w:type="default" r:id="rId10"/>
      <w:footerReference w:type="default" r:id="rId11"/>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447FF" w14:textId="77777777" w:rsidR="003F0323" w:rsidRDefault="003F0323" w:rsidP="003F0323">
      <w:pPr>
        <w:spacing w:after="0" w:line="240" w:lineRule="auto"/>
      </w:pPr>
      <w:r>
        <w:separator/>
      </w:r>
    </w:p>
  </w:endnote>
  <w:endnote w:type="continuationSeparator" w:id="0">
    <w:p w14:paraId="1EE83143" w14:textId="77777777" w:rsidR="003F0323" w:rsidRDefault="003F0323" w:rsidP="003F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A079" w14:textId="37C5B796" w:rsidR="00CC67E3" w:rsidRDefault="00CC67E3">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720BA6D" wp14:editId="7D9CC5A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13C247"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cstheme="minorBidi"/>
        <w:color w:val="4472C4" w:themeColor="accent1"/>
        <w:sz w:val="20"/>
        <w:szCs w:val="20"/>
      </w:rPr>
      <w:fldChar w:fldCharType="begin"/>
    </w:r>
    <w:r>
      <w:rPr>
        <w:color w:val="4472C4" w:themeColor="accent1"/>
        <w:sz w:val="20"/>
        <w:szCs w:val="20"/>
      </w:rPr>
      <w:instrText xml:space="preserve"> PAGE    \* MERGEFORMAT </w:instrText>
    </w:r>
    <w:r>
      <w:rPr>
        <w:rFonts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1F41" w14:textId="77777777" w:rsidR="003F0323" w:rsidRDefault="003F0323" w:rsidP="003F0323">
      <w:pPr>
        <w:spacing w:after="0" w:line="240" w:lineRule="auto"/>
      </w:pPr>
      <w:r>
        <w:separator/>
      </w:r>
    </w:p>
  </w:footnote>
  <w:footnote w:type="continuationSeparator" w:id="0">
    <w:p w14:paraId="21F7CAC3" w14:textId="77777777" w:rsidR="003F0323" w:rsidRDefault="003F0323" w:rsidP="003F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92FF" w14:textId="0C1C90FE" w:rsidR="003F0323" w:rsidRPr="003F0323" w:rsidRDefault="003F0323" w:rsidP="004303C1">
    <w:pPr>
      <w:pStyle w:val="Header"/>
      <w:jc w:val="center"/>
      <w:rPr>
        <w:caps/>
        <w:color w:val="0000FF"/>
        <w:u w:val="double"/>
      </w:rPr>
    </w:pPr>
    <w:bookmarkStart w:id="1" w:name="_cp_change_334"/>
    <w:r w:rsidRPr="003F0323">
      <w:rPr>
        <w:caps/>
        <w:color w:val="0000FF"/>
        <w:u w:val="double" w:color="0000FF"/>
      </w:rPr>
      <w:t>Confidential and Proprietary – Not For Distribution</w:t>
    </w:r>
  </w:p>
  <w:bookmarkEnd w:id="1"/>
  <w:p w14:paraId="172B381A" w14:textId="77777777" w:rsidR="003F0323" w:rsidRDefault="003F0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C6EB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9615EDE"/>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664A49"/>
    <w:multiLevelType w:val="hybridMultilevel"/>
    <w:tmpl w:val="EAA4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75FED"/>
    <w:multiLevelType w:val="hybridMultilevel"/>
    <w:tmpl w:val="8676C25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04C2"/>
    <w:multiLevelType w:val="hybridMultilevel"/>
    <w:tmpl w:val="E5545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02ADF"/>
    <w:multiLevelType w:val="hybridMultilevel"/>
    <w:tmpl w:val="B67EB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1011D"/>
    <w:multiLevelType w:val="hybridMultilevel"/>
    <w:tmpl w:val="F19A4F08"/>
    <w:lvl w:ilvl="0" w:tplc="470E73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07AFB"/>
    <w:multiLevelType w:val="hybridMultilevel"/>
    <w:tmpl w:val="4C665846"/>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D5A6D"/>
    <w:multiLevelType w:val="hybridMultilevel"/>
    <w:tmpl w:val="7D7A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46FE2"/>
    <w:multiLevelType w:val="hybridMultilevel"/>
    <w:tmpl w:val="BB52E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A587C"/>
    <w:multiLevelType w:val="hybridMultilevel"/>
    <w:tmpl w:val="AE14D4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625B4"/>
    <w:multiLevelType w:val="hybridMultilevel"/>
    <w:tmpl w:val="940C11CE"/>
    <w:lvl w:ilvl="0" w:tplc="BBBEF0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E638B"/>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7276103"/>
    <w:multiLevelType w:val="hybridMultilevel"/>
    <w:tmpl w:val="99000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07931"/>
    <w:multiLevelType w:val="hybridMultilevel"/>
    <w:tmpl w:val="42C0136A"/>
    <w:lvl w:ilvl="0" w:tplc="062C2F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B0D1F"/>
    <w:multiLevelType w:val="hybridMultilevel"/>
    <w:tmpl w:val="FFFFFFFF"/>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4BB238B"/>
    <w:multiLevelType w:val="hybridMultilevel"/>
    <w:tmpl w:val="27A093AC"/>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51F007B"/>
    <w:multiLevelType w:val="hybridMultilevel"/>
    <w:tmpl w:val="0B7E6444"/>
    <w:lvl w:ilvl="0" w:tplc="1514212C">
      <w:start w:val="1"/>
      <w:numFmt w:val="decimal"/>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C7F60"/>
    <w:multiLevelType w:val="hybridMultilevel"/>
    <w:tmpl w:val="E13A1E80"/>
    <w:lvl w:ilvl="0" w:tplc="E9945A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24DE3"/>
    <w:multiLevelType w:val="hybridMultilevel"/>
    <w:tmpl w:val="C65ADE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54064471">
    <w:abstractNumId w:val="1"/>
  </w:num>
  <w:num w:numId="2" w16cid:durableId="1117065375">
    <w:abstractNumId w:val="0"/>
  </w:num>
  <w:num w:numId="3" w16cid:durableId="1430731710">
    <w:abstractNumId w:val="15"/>
  </w:num>
  <w:num w:numId="4" w16cid:durableId="877620313">
    <w:abstractNumId w:val="12"/>
  </w:num>
  <w:num w:numId="5" w16cid:durableId="234780196">
    <w:abstractNumId w:val="17"/>
  </w:num>
  <w:num w:numId="6" w16cid:durableId="960574879">
    <w:abstractNumId w:val="5"/>
  </w:num>
  <w:num w:numId="7" w16cid:durableId="780877051">
    <w:abstractNumId w:val="8"/>
  </w:num>
  <w:num w:numId="8" w16cid:durableId="1973779470">
    <w:abstractNumId w:val="2"/>
  </w:num>
  <w:num w:numId="9" w16cid:durableId="53087084">
    <w:abstractNumId w:val="4"/>
  </w:num>
  <w:num w:numId="10" w16cid:durableId="1966616769">
    <w:abstractNumId w:val="6"/>
  </w:num>
  <w:num w:numId="11" w16cid:durableId="1266883241">
    <w:abstractNumId w:val="14"/>
  </w:num>
  <w:num w:numId="12" w16cid:durableId="438919013">
    <w:abstractNumId w:val="18"/>
  </w:num>
  <w:num w:numId="13" w16cid:durableId="295375538">
    <w:abstractNumId w:val="11"/>
  </w:num>
  <w:num w:numId="14" w16cid:durableId="119110299">
    <w:abstractNumId w:val="9"/>
  </w:num>
  <w:num w:numId="15" w16cid:durableId="1444879529">
    <w:abstractNumId w:val="7"/>
  </w:num>
  <w:num w:numId="16" w16cid:durableId="1245917764">
    <w:abstractNumId w:val="16"/>
  </w:num>
  <w:num w:numId="17" w16cid:durableId="1235092053">
    <w:abstractNumId w:val="10"/>
  </w:num>
  <w:num w:numId="18" w16cid:durableId="945696120">
    <w:abstractNumId w:val="3"/>
  </w:num>
  <w:num w:numId="19" w16cid:durableId="951132871">
    <w:abstractNumId w:val="19"/>
  </w:num>
  <w:num w:numId="20" w16cid:durableId="1426028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12"/>
    <w:rsid w:val="00001E4C"/>
    <w:rsid w:val="000115A1"/>
    <w:rsid w:val="00012873"/>
    <w:rsid w:val="000215F1"/>
    <w:rsid w:val="000254DC"/>
    <w:rsid w:val="00036816"/>
    <w:rsid w:val="00060D69"/>
    <w:rsid w:val="00076484"/>
    <w:rsid w:val="00096DF3"/>
    <w:rsid w:val="000C37D1"/>
    <w:rsid w:val="000F1022"/>
    <w:rsid w:val="001057D7"/>
    <w:rsid w:val="001462CE"/>
    <w:rsid w:val="001C2E92"/>
    <w:rsid w:val="001D59B8"/>
    <w:rsid w:val="001F720A"/>
    <w:rsid w:val="00236708"/>
    <w:rsid w:val="0024738B"/>
    <w:rsid w:val="00250CB0"/>
    <w:rsid w:val="0025616D"/>
    <w:rsid w:val="00274CEB"/>
    <w:rsid w:val="002974E5"/>
    <w:rsid w:val="002A0B54"/>
    <w:rsid w:val="002A37D8"/>
    <w:rsid w:val="002D5ABF"/>
    <w:rsid w:val="002F0581"/>
    <w:rsid w:val="002F1A73"/>
    <w:rsid w:val="00333E15"/>
    <w:rsid w:val="00342063"/>
    <w:rsid w:val="003651BD"/>
    <w:rsid w:val="00392F4F"/>
    <w:rsid w:val="003A0702"/>
    <w:rsid w:val="003C5BC4"/>
    <w:rsid w:val="003D095E"/>
    <w:rsid w:val="003D37EA"/>
    <w:rsid w:val="003F0323"/>
    <w:rsid w:val="00416B8B"/>
    <w:rsid w:val="00423BA0"/>
    <w:rsid w:val="004303C1"/>
    <w:rsid w:val="00441963"/>
    <w:rsid w:val="00444AB5"/>
    <w:rsid w:val="004A7F9E"/>
    <w:rsid w:val="004F0898"/>
    <w:rsid w:val="00535CE6"/>
    <w:rsid w:val="00542D9E"/>
    <w:rsid w:val="00553CE9"/>
    <w:rsid w:val="00576842"/>
    <w:rsid w:val="005C341B"/>
    <w:rsid w:val="005F41B8"/>
    <w:rsid w:val="00606005"/>
    <w:rsid w:val="00620638"/>
    <w:rsid w:val="006344CA"/>
    <w:rsid w:val="006770E5"/>
    <w:rsid w:val="006D4FDA"/>
    <w:rsid w:val="006E3CF5"/>
    <w:rsid w:val="006F2E66"/>
    <w:rsid w:val="006F4CEF"/>
    <w:rsid w:val="0071258C"/>
    <w:rsid w:val="00713572"/>
    <w:rsid w:val="00715162"/>
    <w:rsid w:val="007338A4"/>
    <w:rsid w:val="00740159"/>
    <w:rsid w:val="007824E6"/>
    <w:rsid w:val="007850E0"/>
    <w:rsid w:val="007863B2"/>
    <w:rsid w:val="00787312"/>
    <w:rsid w:val="0079700F"/>
    <w:rsid w:val="007C011B"/>
    <w:rsid w:val="007F047D"/>
    <w:rsid w:val="00803B4B"/>
    <w:rsid w:val="00824A74"/>
    <w:rsid w:val="00875515"/>
    <w:rsid w:val="00891097"/>
    <w:rsid w:val="008A40A5"/>
    <w:rsid w:val="008E5F8E"/>
    <w:rsid w:val="00951393"/>
    <w:rsid w:val="009B5DE5"/>
    <w:rsid w:val="009C3891"/>
    <w:rsid w:val="009E0DA8"/>
    <w:rsid w:val="009F4E9B"/>
    <w:rsid w:val="00A14CF2"/>
    <w:rsid w:val="00A2042E"/>
    <w:rsid w:val="00A64E1B"/>
    <w:rsid w:val="00A76B45"/>
    <w:rsid w:val="00AC6175"/>
    <w:rsid w:val="00AF0A52"/>
    <w:rsid w:val="00AF2D8E"/>
    <w:rsid w:val="00B00670"/>
    <w:rsid w:val="00B165B8"/>
    <w:rsid w:val="00B20210"/>
    <w:rsid w:val="00B31243"/>
    <w:rsid w:val="00B90145"/>
    <w:rsid w:val="00B9037E"/>
    <w:rsid w:val="00BE3CDC"/>
    <w:rsid w:val="00C04FFA"/>
    <w:rsid w:val="00C15543"/>
    <w:rsid w:val="00C161F2"/>
    <w:rsid w:val="00C23B43"/>
    <w:rsid w:val="00C457DD"/>
    <w:rsid w:val="00C50F35"/>
    <w:rsid w:val="00C74F05"/>
    <w:rsid w:val="00CC0D12"/>
    <w:rsid w:val="00CC67E3"/>
    <w:rsid w:val="00CF3717"/>
    <w:rsid w:val="00CF40D9"/>
    <w:rsid w:val="00D229CF"/>
    <w:rsid w:val="00D35C87"/>
    <w:rsid w:val="00D65245"/>
    <w:rsid w:val="00D655D4"/>
    <w:rsid w:val="00D6701C"/>
    <w:rsid w:val="00D926AE"/>
    <w:rsid w:val="00DB7BBB"/>
    <w:rsid w:val="00DD1791"/>
    <w:rsid w:val="00DE04AE"/>
    <w:rsid w:val="00DF7CE8"/>
    <w:rsid w:val="00E17FEC"/>
    <w:rsid w:val="00E73C20"/>
    <w:rsid w:val="00EF02A1"/>
    <w:rsid w:val="00F118CF"/>
    <w:rsid w:val="00F32BC3"/>
    <w:rsid w:val="00F3318C"/>
    <w:rsid w:val="00F33E3C"/>
    <w:rsid w:val="00F55FE7"/>
    <w:rsid w:val="00F72148"/>
    <w:rsid w:val="00F86310"/>
    <w:rsid w:val="00F94948"/>
    <w:rsid w:val="00FA0B50"/>
    <w:rsid w:val="00FA639F"/>
    <w:rsid w:val="00FC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B7D64"/>
  <w14:defaultImageDpi w14:val="0"/>
  <w15:docId w15:val="{46B32D23-6CFE-48F5-8681-D8ED9F92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kern w:val="0"/>
      <w:sz w:val="24"/>
      <w:szCs w:val="24"/>
    </w:rPr>
  </w:style>
  <w:style w:type="paragraph" w:customStyle="1" w:styleId="CM1">
    <w:name w:val="CM1"/>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19">
    <w:name w:val="CM19"/>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7">
    <w:name w:val="CM7"/>
    <w:basedOn w:val="Default"/>
    <w:next w:val="Default"/>
    <w:uiPriority w:val="99"/>
    <w:pPr>
      <w:spacing w:line="231" w:lineRule="atLeast"/>
    </w:pPr>
    <w:rPr>
      <w:color w:val="auto"/>
    </w:rPr>
  </w:style>
  <w:style w:type="paragraph" w:customStyle="1" w:styleId="CM8">
    <w:name w:val="CM8"/>
    <w:basedOn w:val="Default"/>
    <w:next w:val="Default"/>
    <w:uiPriority w:val="99"/>
    <w:pPr>
      <w:spacing w:line="231"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20">
    <w:name w:val="CM20"/>
    <w:basedOn w:val="Default"/>
    <w:next w:val="Default"/>
    <w:uiPriority w:val="99"/>
    <w:rPr>
      <w:color w:val="auto"/>
    </w:rPr>
  </w:style>
  <w:style w:type="paragraph" w:customStyle="1" w:styleId="CM14">
    <w:name w:val="CM14"/>
    <w:basedOn w:val="Default"/>
    <w:next w:val="Default"/>
    <w:uiPriority w:val="99"/>
    <w:pPr>
      <w:spacing w:line="231" w:lineRule="atLeast"/>
    </w:pPr>
    <w:rPr>
      <w:color w:val="auto"/>
    </w:rPr>
  </w:style>
  <w:style w:type="paragraph" w:customStyle="1" w:styleId="CM15">
    <w:name w:val="CM15"/>
    <w:basedOn w:val="Default"/>
    <w:next w:val="Default"/>
    <w:uiPriority w:val="99"/>
    <w:pPr>
      <w:spacing w:line="231" w:lineRule="atLeast"/>
    </w:pPr>
    <w:rPr>
      <w:color w:val="auto"/>
    </w:rPr>
  </w:style>
  <w:style w:type="character" w:styleId="CommentReference">
    <w:name w:val="annotation reference"/>
    <w:basedOn w:val="DefaultParagraphFont"/>
    <w:unhideWhenUsed/>
    <w:rsid w:val="00C23B43"/>
    <w:rPr>
      <w:sz w:val="16"/>
      <w:szCs w:val="16"/>
    </w:rPr>
  </w:style>
  <w:style w:type="paragraph" w:styleId="CommentText">
    <w:name w:val="annotation text"/>
    <w:basedOn w:val="Normal"/>
    <w:link w:val="CommentTextChar"/>
    <w:unhideWhenUsed/>
    <w:rsid w:val="00C23B43"/>
    <w:pPr>
      <w:spacing w:line="240" w:lineRule="auto"/>
    </w:pPr>
    <w:rPr>
      <w:sz w:val="20"/>
      <w:szCs w:val="20"/>
    </w:rPr>
  </w:style>
  <w:style w:type="character" w:customStyle="1" w:styleId="CommentTextChar">
    <w:name w:val="Comment Text Char"/>
    <w:basedOn w:val="DefaultParagraphFont"/>
    <w:link w:val="CommentText"/>
    <w:rsid w:val="00C23B43"/>
    <w:rPr>
      <w:sz w:val="20"/>
      <w:szCs w:val="20"/>
    </w:rPr>
  </w:style>
  <w:style w:type="paragraph" w:styleId="CommentSubject">
    <w:name w:val="annotation subject"/>
    <w:basedOn w:val="CommentText"/>
    <w:next w:val="CommentText"/>
    <w:link w:val="CommentSubjectChar"/>
    <w:uiPriority w:val="99"/>
    <w:semiHidden/>
    <w:unhideWhenUsed/>
    <w:rsid w:val="00C23B43"/>
    <w:rPr>
      <w:b/>
      <w:bCs/>
    </w:rPr>
  </w:style>
  <w:style w:type="character" w:customStyle="1" w:styleId="CommentSubjectChar">
    <w:name w:val="Comment Subject Char"/>
    <w:basedOn w:val="CommentTextChar"/>
    <w:link w:val="CommentSubject"/>
    <w:uiPriority w:val="99"/>
    <w:semiHidden/>
    <w:rsid w:val="00C23B43"/>
    <w:rPr>
      <w:b/>
      <w:bCs/>
      <w:sz w:val="20"/>
      <w:szCs w:val="20"/>
    </w:rPr>
  </w:style>
  <w:style w:type="paragraph" w:styleId="Revision">
    <w:name w:val="Revision"/>
    <w:hidden/>
    <w:uiPriority w:val="99"/>
    <w:semiHidden/>
    <w:rsid w:val="00C23B43"/>
    <w:pPr>
      <w:spacing w:after="0" w:line="240" w:lineRule="auto"/>
    </w:pPr>
  </w:style>
  <w:style w:type="paragraph" w:styleId="ListParagraph">
    <w:name w:val="List Paragraph"/>
    <w:basedOn w:val="Normal"/>
    <w:uiPriority w:val="34"/>
    <w:qFormat/>
    <w:rsid w:val="00DB7BBB"/>
    <w:pPr>
      <w:spacing w:after="0" w:line="240" w:lineRule="auto"/>
      <w:ind w:left="720"/>
    </w:pPr>
    <w:rPr>
      <w:rFonts w:ascii="Times New Roman" w:eastAsia="Times New Roman" w:hAnsi="Times New Roman"/>
      <w:kern w:val="0"/>
      <w:sz w:val="24"/>
      <w:szCs w:val="24"/>
    </w:rPr>
  </w:style>
  <w:style w:type="paragraph" w:styleId="Header">
    <w:name w:val="header"/>
    <w:basedOn w:val="Normal"/>
    <w:link w:val="HeaderChar"/>
    <w:unhideWhenUsed/>
    <w:rsid w:val="003F0323"/>
    <w:pPr>
      <w:tabs>
        <w:tab w:val="center" w:pos="4680"/>
        <w:tab w:val="right" w:pos="9360"/>
      </w:tabs>
      <w:spacing w:after="0" w:line="240" w:lineRule="auto"/>
    </w:pPr>
  </w:style>
  <w:style w:type="character" w:customStyle="1" w:styleId="HeaderChar">
    <w:name w:val="Header Char"/>
    <w:basedOn w:val="DefaultParagraphFont"/>
    <w:link w:val="Header"/>
    <w:rsid w:val="003F0323"/>
  </w:style>
  <w:style w:type="paragraph" w:styleId="Footer">
    <w:name w:val="footer"/>
    <w:basedOn w:val="Normal"/>
    <w:link w:val="FooterChar"/>
    <w:uiPriority w:val="99"/>
    <w:unhideWhenUsed/>
    <w:rsid w:val="003F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323"/>
  </w:style>
  <w:style w:type="character" w:styleId="Hyperlink">
    <w:name w:val="Hyperlink"/>
    <w:basedOn w:val="DefaultParagraphFont"/>
    <w:uiPriority w:val="99"/>
    <w:unhideWhenUsed/>
    <w:rsid w:val="00576842"/>
    <w:rPr>
      <w:color w:val="0563C1" w:themeColor="hyperlink"/>
      <w:u w:val="single"/>
    </w:rPr>
  </w:style>
  <w:style w:type="character" w:styleId="UnresolvedMention">
    <w:name w:val="Unresolved Mention"/>
    <w:basedOn w:val="DefaultParagraphFont"/>
    <w:uiPriority w:val="99"/>
    <w:semiHidden/>
    <w:unhideWhenUsed/>
    <w:rsid w:val="0057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3912">
      <w:bodyDiv w:val="1"/>
      <w:marLeft w:val="0"/>
      <w:marRight w:val="0"/>
      <w:marTop w:val="0"/>
      <w:marBottom w:val="0"/>
      <w:divBdr>
        <w:top w:val="none" w:sz="0" w:space="0" w:color="auto"/>
        <w:left w:val="none" w:sz="0" w:space="0" w:color="auto"/>
        <w:bottom w:val="none" w:sz="0" w:space="0" w:color="auto"/>
        <w:right w:val="none" w:sz="0" w:space="0" w:color="auto"/>
      </w:divBdr>
    </w:div>
    <w:div w:id="143591668">
      <w:bodyDiv w:val="1"/>
      <w:marLeft w:val="0"/>
      <w:marRight w:val="0"/>
      <w:marTop w:val="0"/>
      <w:marBottom w:val="0"/>
      <w:divBdr>
        <w:top w:val="none" w:sz="0" w:space="0" w:color="auto"/>
        <w:left w:val="none" w:sz="0" w:space="0" w:color="auto"/>
        <w:bottom w:val="none" w:sz="0" w:space="0" w:color="auto"/>
        <w:right w:val="none" w:sz="0" w:space="0" w:color="auto"/>
      </w:divBdr>
    </w:div>
    <w:div w:id="365563524">
      <w:bodyDiv w:val="1"/>
      <w:marLeft w:val="0"/>
      <w:marRight w:val="0"/>
      <w:marTop w:val="0"/>
      <w:marBottom w:val="0"/>
      <w:divBdr>
        <w:top w:val="none" w:sz="0" w:space="0" w:color="auto"/>
        <w:left w:val="none" w:sz="0" w:space="0" w:color="auto"/>
        <w:bottom w:val="none" w:sz="0" w:space="0" w:color="auto"/>
        <w:right w:val="none" w:sz="0" w:space="0" w:color="auto"/>
      </w:divBdr>
    </w:div>
    <w:div w:id="388891027">
      <w:bodyDiv w:val="1"/>
      <w:marLeft w:val="0"/>
      <w:marRight w:val="0"/>
      <w:marTop w:val="0"/>
      <w:marBottom w:val="0"/>
      <w:divBdr>
        <w:top w:val="none" w:sz="0" w:space="0" w:color="auto"/>
        <w:left w:val="none" w:sz="0" w:space="0" w:color="auto"/>
        <w:bottom w:val="none" w:sz="0" w:space="0" w:color="auto"/>
        <w:right w:val="none" w:sz="0" w:space="0" w:color="auto"/>
      </w:divBdr>
    </w:div>
    <w:div w:id="968167085">
      <w:bodyDiv w:val="1"/>
      <w:marLeft w:val="0"/>
      <w:marRight w:val="0"/>
      <w:marTop w:val="0"/>
      <w:marBottom w:val="0"/>
      <w:divBdr>
        <w:top w:val="none" w:sz="0" w:space="0" w:color="auto"/>
        <w:left w:val="none" w:sz="0" w:space="0" w:color="auto"/>
        <w:bottom w:val="none" w:sz="0" w:space="0" w:color="auto"/>
        <w:right w:val="none" w:sz="0" w:space="0" w:color="auto"/>
      </w:divBdr>
    </w:div>
    <w:div w:id="19655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a6b2448f283cfc84&amp;rlz=1C1GCEA_enUS1006US1006&amp;cs=0&amp;sxsrf=AE3TifMW5JiuRmJhHd7tJ1Gn5m3Jx_bqMQ%3A1752156373915&amp;q=Mid-Atlantic+Clean+Hydrogen+Hub&amp;sa=X&amp;ved=2ahUKEwi05uCRu7KOAxXlRDABHZBdB-QQxccNegQIBRAB&amp;mstk=AUtExfCzwA_eOsIBE_3TWgvD8h9kDejN63EPqaHAOACUfNFf-jlPX4UTXnl_cUo0oQO1QlMnOwRFCIMxOeA6ohaxrTSCJT933RS-g6rmFl15lGJBBP3WoSQ-OEC_GsoAUsRyUQkOynt9voI8UdkDaYXnzNhZxYP1K70VtHJL0PFCnk7-RYg0uyj-CNw5V-pEyMle_-J2ejgZQcNU9j3_Vtv2kkoyquj9hcI-murNDIkj8O3ghgHkjbqcBjPqykR1E6f8_K9U4K0WLrpPHa_yn1ZqiXt8-PQDjvvvSlL0dL2KohUlIA&amp;csui=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vestors.pbfenergy.com/corporate-governance/corporate-governa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DCDF-F69C-4FF6-9C4A-0A6478F8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3787</Words>
  <Characters>22761</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bsison</dc:creator>
  <cp:keywords/>
  <dc:description/>
  <cp:lastModifiedBy>Yorkman, Donald</cp:lastModifiedBy>
  <cp:revision>5</cp:revision>
  <cp:lastPrinted>2025-01-16T14:57:00Z</cp:lastPrinted>
  <dcterms:created xsi:type="dcterms:W3CDTF">2025-07-30T17:46:00Z</dcterms:created>
  <dcterms:modified xsi:type="dcterms:W3CDTF">2025-07-30T20:56:00Z</dcterms:modified>
</cp:coreProperties>
</file>